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_xmlsignatures/origin.sigs" Id="rId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0BCC2" w14:textId="1FC35FB7" w:rsidR="007500D1" w:rsidRPr="00382A62" w:rsidRDefault="00CD282E" w:rsidP="00412DBC">
      <w:pPr>
        <w:rPr>
          <w:rFonts w:cs="Arial"/>
          <w:szCs w:val="20"/>
        </w:rPr>
      </w:pPr>
      <w:r w:rsidRPr="00382A62">
        <w:rPr>
          <w:rFonts w:cs="Arial"/>
          <w:noProof/>
          <w:szCs w:val="20"/>
        </w:rPr>
        <w:drawing>
          <wp:anchor distT="0" distB="0" distL="114300" distR="114300" simplePos="0" relativeHeight="251696128" behindDoc="1" locked="0" layoutInCell="1" allowOverlap="1" wp14:anchorId="253BC281" wp14:editId="667981FC">
            <wp:simplePos x="0" y="0"/>
            <wp:positionH relativeFrom="page">
              <wp:align>left</wp:align>
            </wp:positionH>
            <wp:positionV relativeFrom="paragraph">
              <wp:posOffset>-914400</wp:posOffset>
            </wp:positionV>
            <wp:extent cx="7760070" cy="10284431"/>
            <wp:effectExtent l="0" t="0" r="0" b="3175"/>
            <wp:wrapNone/>
            <wp:docPr id="7" name="Imagen 7"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 Word&#10;&#10;Descripción generada automáticamente"/>
                    <pic:cNvPicPr/>
                  </pic:nvPicPr>
                  <pic:blipFill rotWithShape="1">
                    <a:blip r:embed="rId11" cstate="print">
                      <a:extLst>
                        <a:ext uri="{28A0092B-C50C-407E-A947-70E740481C1C}">
                          <a14:useLocalDpi xmlns:a14="http://schemas.microsoft.com/office/drawing/2010/main" val="0"/>
                        </a:ext>
                      </a:extLst>
                    </a:blip>
                    <a:srcRect l="68218" t="25113" r="18457" b="12098"/>
                    <a:stretch/>
                  </pic:blipFill>
                  <pic:spPr bwMode="auto">
                    <a:xfrm>
                      <a:off x="0" y="0"/>
                      <a:ext cx="7772291" cy="103006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3CCD" w:rsidRPr="00382A62">
        <w:rPr>
          <w:rFonts w:cs="Arial"/>
          <w:noProof/>
          <w:szCs w:val="20"/>
        </w:rPr>
        <w:drawing>
          <wp:anchor distT="0" distB="0" distL="114300" distR="114300" simplePos="0" relativeHeight="251693056" behindDoc="0" locked="0" layoutInCell="1" allowOverlap="1" wp14:anchorId="3C79F5C1" wp14:editId="4FE07D65">
            <wp:simplePos x="0" y="0"/>
            <wp:positionH relativeFrom="margin">
              <wp:posOffset>2228850</wp:posOffset>
            </wp:positionH>
            <wp:positionV relativeFrom="paragraph">
              <wp:posOffset>6360795</wp:posOffset>
            </wp:positionV>
            <wp:extent cx="4391025" cy="1783899"/>
            <wp:effectExtent l="0" t="0" r="0" b="0"/>
            <wp:wrapNone/>
            <wp:docPr id="47" name="Imagen 47"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Dibujo en blanco y negro&#10;&#10;Descripción generada automáticamente con confianza ba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1025" cy="1783899"/>
                    </a:xfrm>
                    <a:prstGeom prst="rect">
                      <a:avLst/>
                    </a:prstGeom>
                    <a:noFill/>
                  </pic:spPr>
                </pic:pic>
              </a:graphicData>
            </a:graphic>
          </wp:anchor>
        </w:drawing>
      </w:r>
    </w:p>
    <w:p w14:paraId="1AE90CD3" w14:textId="73B630BC" w:rsidR="007500D1" w:rsidRPr="00382A62" w:rsidRDefault="007500D1">
      <w:pPr>
        <w:spacing w:line="259" w:lineRule="auto"/>
        <w:jc w:val="left"/>
        <w:rPr>
          <w:rFonts w:eastAsiaTheme="majorEastAsia" w:cs="Arial"/>
          <w:b/>
          <w:color w:val="FFFFFF" w:themeColor="background1"/>
          <w:szCs w:val="20"/>
          <w:lang w:val="en-US"/>
        </w:rPr>
      </w:pPr>
      <w:r w:rsidRPr="00382A62">
        <w:rPr>
          <w:rFonts w:cs="Arial"/>
          <w:szCs w:val="20"/>
          <w:lang w:val="en-US"/>
        </w:rPr>
        <w:br w:type="page"/>
      </w:r>
    </w:p>
    <w:p w14:paraId="31F5EA2C" w14:textId="307B7D8D" w:rsidR="008C4B83" w:rsidRPr="00382A62" w:rsidRDefault="00953200" w:rsidP="00B15F7A">
      <w:pPr>
        <w:pStyle w:val="Ttulo1"/>
        <w:jc w:val="center"/>
        <w:rPr>
          <w:rFonts w:cs="Arial"/>
          <w:color w:val="auto"/>
          <w:sz w:val="20"/>
          <w:szCs w:val="20"/>
          <w:lang w:val="en-US"/>
        </w:rPr>
      </w:pPr>
      <w:bookmarkStart w:id="0" w:name="_Toc131501050"/>
      <w:bookmarkStart w:id="1" w:name="_Toc169624609"/>
      <w:r w:rsidRPr="00382A62">
        <w:rPr>
          <w:rFonts w:cs="Arial"/>
          <w:color w:val="auto"/>
          <w:sz w:val="20"/>
          <w:szCs w:val="20"/>
          <w:lang w:val="en-US"/>
        </w:rPr>
        <w:lastRenderedPageBreak/>
        <w:t>Prospecto</w:t>
      </w:r>
      <w:bookmarkEnd w:id="0"/>
      <w:bookmarkEnd w:id="1"/>
    </w:p>
    <w:p w14:paraId="42256609" w14:textId="77777777" w:rsidR="007234AC" w:rsidRPr="00382A62" w:rsidRDefault="007234AC" w:rsidP="00B15F7A">
      <w:pPr>
        <w:pStyle w:val="Ttulo1"/>
        <w:jc w:val="center"/>
        <w:rPr>
          <w:rFonts w:cs="Arial"/>
          <w:color w:val="auto"/>
          <w:sz w:val="20"/>
          <w:szCs w:val="20"/>
          <w:lang w:val="en-US"/>
        </w:rPr>
      </w:pPr>
      <w:bookmarkStart w:id="2" w:name="_Toc131501051"/>
      <w:bookmarkStart w:id="3" w:name="_Toc169624610"/>
      <w:r w:rsidRPr="00382A62">
        <w:rPr>
          <w:rFonts w:cs="Arial"/>
          <w:color w:val="auto"/>
          <w:sz w:val="20"/>
          <w:szCs w:val="20"/>
          <w:lang w:val="en-US"/>
        </w:rPr>
        <w:t>Florida Ice and Farm Company, S.A,</w:t>
      </w:r>
      <w:bookmarkEnd w:id="2"/>
      <w:bookmarkEnd w:id="3"/>
    </w:p>
    <w:p w14:paraId="2FC84F1F" w14:textId="77777777" w:rsidR="00953200" w:rsidRPr="00382A62" w:rsidRDefault="00B84E04" w:rsidP="000046D6">
      <w:pPr>
        <w:pStyle w:val="Ttulo2"/>
        <w:jc w:val="center"/>
        <w:rPr>
          <w:rFonts w:cs="Arial"/>
          <w:sz w:val="20"/>
          <w:szCs w:val="20"/>
        </w:rPr>
      </w:pPr>
      <w:bookmarkStart w:id="4" w:name="_Toc131501052"/>
      <w:bookmarkStart w:id="5" w:name="_Toc169624611"/>
      <w:r w:rsidRPr="00382A62">
        <w:rPr>
          <w:rFonts w:cs="Arial"/>
          <w:sz w:val="20"/>
          <w:szCs w:val="20"/>
        </w:rPr>
        <w:t xml:space="preserve">Emisiones </w:t>
      </w:r>
      <w:r w:rsidR="00BE4687" w:rsidRPr="00382A62">
        <w:rPr>
          <w:rFonts w:cs="Arial"/>
          <w:sz w:val="20"/>
          <w:szCs w:val="20"/>
        </w:rPr>
        <w:t>i</w:t>
      </w:r>
      <w:r w:rsidRPr="00382A62">
        <w:rPr>
          <w:rFonts w:cs="Arial"/>
          <w:sz w:val="20"/>
          <w:szCs w:val="20"/>
        </w:rPr>
        <w:t>nscritas</w:t>
      </w:r>
      <w:r w:rsidR="007B0DD5" w:rsidRPr="00382A62">
        <w:rPr>
          <w:rFonts w:cs="Arial"/>
          <w:sz w:val="20"/>
          <w:szCs w:val="20"/>
        </w:rPr>
        <w:t xml:space="preserve"> y autorizadas</w:t>
      </w:r>
      <w:r w:rsidR="00AA5A9D" w:rsidRPr="00382A62">
        <w:rPr>
          <w:rFonts w:cs="Arial"/>
          <w:sz w:val="20"/>
          <w:szCs w:val="20"/>
        </w:rPr>
        <w:t xml:space="preserve"> por la Superintendencia </w:t>
      </w:r>
      <w:r w:rsidR="00B56D98" w:rsidRPr="00382A62">
        <w:rPr>
          <w:rFonts w:cs="Arial"/>
          <w:sz w:val="20"/>
          <w:szCs w:val="20"/>
        </w:rPr>
        <w:t>General de Valores</w:t>
      </w:r>
      <w:bookmarkEnd w:id="4"/>
      <w:bookmarkEnd w:id="5"/>
    </w:p>
    <w:p w14:paraId="15D8A6AD" w14:textId="77777777" w:rsidR="00ED7B80" w:rsidRPr="00382A62" w:rsidRDefault="00ED7B80" w:rsidP="00ED7B80">
      <w:pPr>
        <w:jc w:val="center"/>
        <w:rPr>
          <w:rFonts w:cs="Arial"/>
          <w:szCs w:val="20"/>
        </w:rPr>
      </w:pPr>
      <w:r w:rsidRPr="00382A62">
        <w:rPr>
          <w:rFonts w:cs="Arial"/>
          <w:szCs w:val="20"/>
        </w:rPr>
        <w:t>ACCIONES COMUNES, MONTO POR ¢</w:t>
      </w:r>
      <w:r w:rsidRPr="00772D78">
        <w:rPr>
          <w:rFonts w:cs="Arial"/>
          <w:szCs w:val="20"/>
        </w:rPr>
        <w:t xml:space="preserve"> 86,216,675,100</w:t>
      </w:r>
    </w:p>
    <w:p w14:paraId="7B683ADC" w14:textId="2AD16029" w:rsidR="0078795B" w:rsidRPr="00382A62" w:rsidRDefault="00ED7B80" w:rsidP="0078795B">
      <w:pPr>
        <w:rPr>
          <w:rFonts w:cs="Arial"/>
          <w:szCs w:val="20"/>
        </w:rPr>
      </w:pPr>
      <w:r w:rsidRPr="00246636">
        <w:rPr>
          <w:rFonts w:cs="Arial"/>
          <w:szCs w:val="20"/>
        </w:rPr>
        <w:t xml:space="preserve">Debidamente autorizada en Asamblea General Ordinaria y Extraordinaria de accionistas celebrada el </w:t>
      </w:r>
      <w:r>
        <w:rPr>
          <w:rFonts w:cs="Arial"/>
          <w:szCs w:val="20"/>
        </w:rPr>
        <w:t>19</w:t>
      </w:r>
      <w:r w:rsidRPr="00246636">
        <w:rPr>
          <w:rFonts w:cs="Arial"/>
          <w:szCs w:val="20"/>
        </w:rPr>
        <w:t xml:space="preserve"> de marzo del 202</w:t>
      </w:r>
      <w:r>
        <w:rPr>
          <w:rFonts w:cs="Arial"/>
          <w:szCs w:val="20"/>
        </w:rPr>
        <w:t>4</w:t>
      </w:r>
      <w:r w:rsidRPr="00246636">
        <w:rPr>
          <w:rFonts w:cs="Arial"/>
          <w:szCs w:val="20"/>
        </w:rPr>
        <w:t xml:space="preserve">. Mediante la resolución </w:t>
      </w:r>
      <w:r w:rsidR="007278A5" w:rsidRPr="007278A5">
        <w:rPr>
          <w:rFonts w:cs="Arial"/>
          <w:szCs w:val="20"/>
        </w:rPr>
        <w:t>SGV-R-100-2024</w:t>
      </w:r>
      <w:r w:rsidR="007278A5" w:rsidRPr="007278A5">
        <w:rPr>
          <w:rFonts w:cs="Arial"/>
          <w:szCs w:val="20"/>
        </w:rPr>
        <w:t xml:space="preserve"> </w:t>
      </w:r>
      <w:r w:rsidRPr="00246636">
        <w:rPr>
          <w:rFonts w:cs="Arial"/>
          <w:szCs w:val="20"/>
        </w:rPr>
        <w:t xml:space="preserve">del </w:t>
      </w:r>
      <w:r w:rsidR="00AE56F4">
        <w:rPr>
          <w:rFonts w:cs="Arial"/>
          <w:szCs w:val="20"/>
        </w:rPr>
        <w:t>23 de mayo</w:t>
      </w:r>
      <w:r w:rsidRPr="00246636">
        <w:rPr>
          <w:rFonts w:cs="Arial"/>
          <w:szCs w:val="20"/>
        </w:rPr>
        <w:t xml:space="preserve"> del 202</w:t>
      </w:r>
      <w:r w:rsidR="00AE56F4">
        <w:rPr>
          <w:rFonts w:cs="Arial"/>
          <w:szCs w:val="20"/>
        </w:rPr>
        <w:t>4</w:t>
      </w:r>
      <w:r>
        <w:rPr>
          <w:rFonts w:cs="Arial"/>
          <w:szCs w:val="20"/>
        </w:rPr>
        <w:t>.</w:t>
      </w:r>
      <w:r w:rsidRPr="00246636">
        <w:rPr>
          <w:rFonts w:cs="Arial"/>
          <w:szCs w:val="20"/>
        </w:rPr>
        <w:t xml:space="preserve"> se autoriza a FLORIDA ICE AND FARM COMPANY, S.A. a la modificación del capital social.</w:t>
      </w:r>
    </w:p>
    <w:p w14:paraId="5E010C8F" w14:textId="028168B2" w:rsidR="0044382B" w:rsidRPr="00382A62" w:rsidRDefault="0044382B" w:rsidP="0044382B">
      <w:pPr>
        <w:jc w:val="center"/>
        <w:rPr>
          <w:rFonts w:cs="Arial"/>
          <w:szCs w:val="20"/>
        </w:rPr>
      </w:pPr>
      <w:r w:rsidRPr="00382A62">
        <w:rPr>
          <w:rFonts w:cs="Arial"/>
          <w:szCs w:val="20"/>
        </w:rPr>
        <w:t>PROGRAMAS DE EMISIONES</w:t>
      </w:r>
      <w:r w:rsidR="00EF1776" w:rsidRPr="00382A62">
        <w:rPr>
          <w:rFonts w:cs="Arial"/>
          <w:szCs w:val="20"/>
        </w:rPr>
        <w:t xml:space="preserve"> VIGENTES</w:t>
      </w:r>
    </w:p>
    <w:tbl>
      <w:tblPr>
        <w:tblW w:w="97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67"/>
        <w:gridCol w:w="2693"/>
        <w:gridCol w:w="1843"/>
        <w:gridCol w:w="2268"/>
      </w:tblGrid>
      <w:tr w:rsidR="00223879" w:rsidRPr="00382A62" w14:paraId="78511C65" w14:textId="77777777" w:rsidTr="00863D40">
        <w:trPr>
          <w:trHeight w:val="315"/>
          <w:jc w:val="center"/>
        </w:trPr>
        <w:tc>
          <w:tcPr>
            <w:tcW w:w="2967" w:type="dxa"/>
            <w:shd w:val="clear" w:color="auto" w:fill="F2F2F2" w:themeFill="background1" w:themeFillShade="F2"/>
            <w:noWrap/>
            <w:vAlign w:val="center"/>
            <w:hideMark/>
          </w:tcPr>
          <w:p w14:paraId="694BAB6E" w14:textId="77777777" w:rsidR="00223879" w:rsidRPr="00382A62" w:rsidRDefault="00223879" w:rsidP="00223879">
            <w:pPr>
              <w:spacing w:line="259" w:lineRule="auto"/>
              <w:jc w:val="center"/>
              <w:rPr>
                <w:rFonts w:cs="Arial"/>
                <w:b/>
                <w:bCs/>
                <w:szCs w:val="20"/>
              </w:rPr>
            </w:pPr>
            <w:r w:rsidRPr="00382A62">
              <w:rPr>
                <w:rFonts w:cs="Arial"/>
                <w:b/>
                <w:bCs/>
                <w:szCs w:val="20"/>
              </w:rPr>
              <w:t>Programas inscritos</w:t>
            </w:r>
          </w:p>
        </w:tc>
        <w:tc>
          <w:tcPr>
            <w:tcW w:w="2693" w:type="dxa"/>
            <w:shd w:val="clear" w:color="auto" w:fill="F2F2F2" w:themeFill="background1" w:themeFillShade="F2"/>
            <w:noWrap/>
            <w:vAlign w:val="center"/>
            <w:hideMark/>
          </w:tcPr>
          <w:p w14:paraId="16FC80DE" w14:textId="77777777" w:rsidR="00223879" w:rsidRPr="00382A62" w:rsidRDefault="00223879" w:rsidP="00223879">
            <w:pPr>
              <w:spacing w:line="259" w:lineRule="auto"/>
              <w:jc w:val="center"/>
              <w:rPr>
                <w:rFonts w:cs="Arial"/>
                <w:b/>
                <w:bCs/>
                <w:szCs w:val="20"/>
              </w:rPr>
            </w:pPr>
            <w:r w:rsidRPr="00382A62">
              <w:rPr>
                <w:rFonts w:cs="Arial"/>
                <w:b/>
                <w:bCs/>
                <w:szCs w:val="20"/>
              </w:rPr>
              <w:t>Fecha de emisión</w:t>
            </w:r>
          </w:p>
        </w:tc>
        <w:tc>
          <w:tcPr>
            <w:tcW w:w="1843" w:type="dxa"/>
            <w:shd w:val="clear" w:color="auto" w:fill="F2F2F2" w:themeFill="background1" w:themeFillShade="F2"/>
            <w:noWrap/>
            <w:vAlign w:val="center"/>
            <w:hideMark/>
          </w:tcPr>
          <w:p w14:paraId="6FE87952" w14:textId="77777777" w:rsidR="00223879" w:rsidRPr="00382A62" w:rsidRDefault="00223879" w:rsidP="00223879">
            <w:pPr>
              <w:spacing w:line="259" w:lineRule="auto"/>
              <w:jc w:val="center"/>
              <w:rPr>
                <w:rFonts w:cs="Arial"/>
                <w:b/>
                <w:bCs/>
                <w:szCs w:val="20"/>
              </w:rPr>
            </w:pPr>
            <w:r w:rsidRPr="00382A62">
              <w:rPr>
                <w:rFonts w:cs="Arial"/>
                <w:b/>
                <w:bCs/>
                <w:szCs w:val="20"/>
              </w:rPr>
              <w:t>Acuerdo autorización</w:t>
            </w:r>
          </w:p>
        </w:tc>
        <w:tc>
          <w:tcPr>
            <w:tcW w:w="2268" w:type="dxa"/>
            <w:shd w:val="clear" w:color="auto" w:fill="F2F2F2" w:themeFill="background1" w:themeFillShade="F2"/>
            <w:noWrap/>
            <w:vAlign w:val="center"/>
            <w:hideMark/>
          </w:tcPr>
          <w:p w14:paraId="4483333A" w14:textId="77777777" w:rsidR="00223879" w:rsidRPr="00382A62" w:rsidRDefault="00223879" w:rsidP="00223879">
            <w:pPr>
              <w:spacing w:line="259" w:lineRule="auto"/>
              <w:jc w:val="center"/>
              <w:rPr>
                <w:rFonts w:cs="Arial"/>
                <w:b/>
                <w:bCs/>
                <w:szCs w:val="20"/>
              </w:rPr>
            </w:pPr>
            <w:r w:rsidRPr="00382A62">
              <w:rPr>
                <w:rFonts w:cs="Arial"/>
                <w:b/>
                <w:bCs/>
                <w:szCs w:val="20"/>
              </w:rPr>
              <w:t>Monto del Programa</w:t>
            </w:r>
          </w:p>
        </w:tc>
      </w:tr>
      <w:tr w:rsidR="00223879" w:rsidRPr="00382A62" w14:paraId="056E4BAF" w14:textId="77777777" w:rsidTr="00863D40">
        <w:trPr>
          <w:trHeight w:val="540"/>
          <w:jc w:val="center"/>
        </w:trPr>
        <w:tc>
          <w:tcPr>
            <w:tcW w:w="2967" w:type="dxa"/>
            <w:shd w:val="clear" w:color="auto" w:fill="auto"/>
            <w:noWrap/>
            <w:vAlign w:val="center"/>
            <w:hideMark/>
          </w:tcPr>
          <w:p w14:paraId="4C55B594" w14:textId="77777777" w:rsidR="00223879" w:rsidRPr="00382A62" w:rsidRDefault="00223879" w:rsidP="004E5095">
            <w:pPr>
              <w:contextualSpacing/>
              <w:jc w:val="left"/>
              <w:rPr>
                <w:rFonts w:cs="Arial"/>
                <w:szCs w:val="20"/>
              </w:rPr>
            </w:pPr>
            <w:r w:rsidRPr="00382A62">
              <w:rPr>
                <w:rFonts w:cs="Arial"/>
                <w:szCs w:val="20"/>
              </w:rPr>
              <w:t>Bonos estandarizados F-2019</w:t>
            </w:r>
          </w:p>
        </w:tc>
        <w:tc>
          <w:tcPr>
            <w:tcW w:w="2693" w:type="dxa"/>
            <w:shd w:val="clear" w:color="auto" w:fill="auto"/>
            <w:noWrap/>
            <w:vAlign w:val="center"/>
            <w:hideMark/>
          </w:tcPr>
          <w:p w14:paraId="0F23CD67" w14:textId="77777777" w:rsidR="00223879" w:rsidRPr="00382A62" w:rsidRDefault="00223879" w:rsidP="004E5095">
            <w:pPr>
              <w:contextualSpacing/>
              <w:jc w:val="center"/>
              <w:rPr>
                <w:rFonts w:cs="Arial"/>
                <w:szCs w:val="20"/>
              </w:rPr>
            </w:pPr>
            <w:r w:rsidRPr="00382A62">
              <w:rPr>
                <w:rFonts w:cs="Arial"/>
                <w:szCs w:val="20"/>
              </w:rPr>
              <w:t>20 de febrero de 2019</w:t>
            </w:r>
          </w:p>
        </w:tc>
        <w:tc>
          <w:tcPr>
            <w:tcW w:w="1843" w:type="dxa"/>
            <w:shd w:val="clear" w:color="auto" w:fill="auto"/>
            <w:noWrap/>
            <w:vAlign w:val="center"/>
            <w:hideMark/>
          </w:tcPr>
          <w:p w14:paraId="6B8BABB4" w14:textId="77777777" w:rsidR="00223879" w:rsidRPr="00382A62" w:rsidRDefault="00223879" w:rsidP="004E5095">
            <w:pPr>
              <w:contextualSpacing/>
              <w:jc w:val="center"/>
              <w:rPr>
                <w:rFonts w:cs="Arial"/>
                <w:szCs w:val="20"/>
              </w:rPr>
            </w:pPr>
            <w:r w:rsidRPr="00382A62">
              <w:rPr>
                <w:rFonts w:cs="Arial"/>
                <w:szCs w:val="20"/>
              </w:rPr>
              <w:t>SGV-R-3411</w:t>
            </w:r>
          </w:p>
        </w:tc>
        <w:tc>
          <w:tcPr>
            <w:tcW w:w="2268" w:type="dxa"/>
            <w:shd w:val="clear" w:color="auto" w:fill="auto"/>
            <w:noWrap/>
            <w:vAlign w:val="center"/>
            <w:hideMark/>
          </w:tcPr>
          <w:p w14:paraId="6846F693" w14:textId="77777777" w:rsidR="00223879" w:rsidRPr="00382A62" w:rsidRDefault="00223879" w:rsidP="004E5095">
            <w:pPr>
              <w:contextualSpacing/>
              <w:jc w:val="center"/>
              <w:rPr>
                <w:rFonts w:cs="Arial"/>
                <w:szCs w:val="20"/>
              </w:rPr>
            </w:pPr>
            <w:r w:rsidRPr="00382A62">
              <w:rPr>
                <w:rFonts w:cs="Arial"/>
                <w:szCs w:val="20"/>
              </w:rPr>
              <w:t>₡50.000.000.000</w:t>
            </w:r>
            <w:r w:rsidR="002E3CB6" w:rsidRPr="00382A62">
              <w:rPr>
                <w:rFonts w:cs="Arial"/>
                <w:szCs w:val="20"/>
              </w:rPr>
              <w:t>,00</w:t>
            </w:r>
          </w:p>
        </w:tc>
      </w:tr>
      <w:tr w:rsidR="000F35A1" w:rsidRPr="00382A62" w14:paraId="7597D5C3" w14:textId="77777777" w:rsidTr="007F3AD0">
        <w:trPr>
          <w:trHeight w:val="540"/>
          <w:jc w:val="center"/>
        </w:trPr>
        <w:tc>
          <w:tcPr>
            <w:tcW w:w="2967" w:type="dxa"/>
            <w:shd w:val="clear" w:color="auto" w:fill="auto"/>
            <w:noWrap/>
            <w:vAlign w:val="center"/>
          </w:tcPr>
          <w:p w14:paraId="735A29B9" w14:textId="77777777" w:rsidR="000F35A1" w:rsidRPr="00382A62" w:rsidRDefault="000F35A1" w:rsidP="004E5095">
            <w:pPr>
              <w:contextualSpacing/>
              <w:jc w:val="left"/>
              <w:rPr>
                <w:rFonts w:cs="Arial"/>
                <w:szCs w:val="20"/>
              </w:rPr>
            </w:pPr>
            <w:r w:rsidRPr="00382A62">
              <w:rPr>
                <w:rFonts w:cs="Arial"/>
                <w:szCs w:val="20"/>
              </w:rPr>
              <w:t>Bonos estandarizados G-2020</w:t>
            </w:r>
          </w:p>
        </w:tc>
        <w:tc>
          <w:tcPr>
            <w:tcW w:w="2693" w:type="dxa"/>
            <w:shd w:val="clear" w:color="auto" w:fill="auto"/>
            <w:noWrap/>
            <w:vAlign w:val="center"/>
          </w:tcPr>
          <w:p w14:paraId="64FFA467" w14:textId="77777777" w:rsidR="000F35A1" w:rsidRPr="00382A62" w:rsidRDefault="00236056" w:rsidP="004E5095">
            <w:pPr>
              <w:contextualSpacing/>
              <w:jc w:val="center"/>
              <w:rPr>
                <w:rFonts w:cs="Arial"/>
                <w:szCs w:val="20"/>
              </w:rPr>
            </w:pPr>
            <w:r w:rsidRPr="00382A62">
              <w:rPr>
                <w:rFonts w:cs="Arial"/>
                <w:szCs w:val="20"/>
              </w:rPr>
              <w:t>23 de octu</w:t>
            </w:r>
            <w:r w:rsidR="007F03D2" w:rsidRPr="00382A62">
              <w:rPr>
                <w:rFonts w:cs="Arial"/>
                <w:szCs w:val="20"/>
              </w:rPr>
              <w:t>bre de 2020</w:t>
            </w:r>
          </w:p>
        </w:tc>
        <w:tc>
          <w:tcPr>
            <w:tcW w:w="1843" w:type="dxa"/>
            <w:shd w:val="clear" w:color="auto" w:fill="auto"/>
            <w:noWrap/>
            <w:vAlign w:val="center"/>
          </w:tcPr>
          <w:p w14:paraId="3E52E98C" w14:textId="77777777" w:rsidR="000F35A1" w:rsidRPr="00382A62" w:rsidRDefault="00EF1E15" w:rsidP="004E5095">
            <w:pPr>
              <w:contextualSpacing/>
              <w:jc w:val="center"/>
              <w:rPr>
                <w:rFonts w:cs="Arial"/>
                <w:szCs w:val="20"/>
              </w:rPr>
            </w:pPr>
            <w:r w:rsidRPr="00382A62">
              <w:rPr>
                <w:rFonts w:cs="Arial"/>
                <w:szCs w:val="20"/>
              </w:rPr>
              <w:t>SGV-R-</w:t>
            </w:r>
            <w:r w:rsidR="006912EB" w:rsidRPr="00382A62">
              <w:rPr>
                <w:rFonts w:cs="Arial"/>
                <w:szCs w:val="20"/>
              </w:rPr>
              <w:t>3587</w:t>
            </w:r>
          </w:p>
        </w:tc>
        <w:tc>
          <w:tcPr>
            <w:tcW w:w="2268" w:type="dxa"/>
            <w:shd w:val="clear" w:color="auto" w:fill="auto"/>
            <w:noWrap/>
            <w:vAlign w:val="center"/>
          </w:tcPr>
          <w:p w14:paraId="0DD66971" w14:textId="57C3BEDE" w:rsidR="000F35A1" w:rsidRPr="00382A62" w:rsidRDefault="000F35A1" w:rsidP="006B3002">
            <w:pPr>
              <w:contextualSpacing/>
              <w:jc w:val="center"/>
              <w:rPr>
                <w:rFonts w:cs="Arial"/>
                <w:szCs w:val="20"/>
              </w:rPr>
            </w:pPr>
            <w:r w:rsidRPr="00382A62">
              <w:rPr>
                <w:rFonts w:cs="Arial"/>
                <w:szCs w:val="20"/>
              </w:rPr>
              <w:t>₡75.000.000.000,00</w:t>
            </w:r>
          </w:p>
        </w:tc>
      </w:tr>
    </w:tbl>
    <w:p w14:paraId="5CF07F24" w14:textId="77777777" w:rsidR="00A24748" w:rsidRPr="00382A62" w:rsidRDefault="00A24748">
      <w:pPr>
        <w:spacing w:line="259" w:lineRule="auto"/>
        <w:jc w:val="left"/>
        <w:rPr>
          <w:rFonts w:cs="Arial"/>
          <w:szCs w:val="20"/>
        </w:rPr>
      </w:pPr>
    </w:p>
    <w:p w14:paraId="0B473AB1" w14:textId="77777777" w:rsidR="007C238B" w:rsidRPr="00382A62" w:rsidRDefault="007C238B">
      <w:pPr>
        <w:spacing w:line="259" w:lineRule="auto"/>
        <w:jc w:val="left"/>
        <w:rPr>
          <w:rFonts w:cs="Arial"/>
          <w:szCs w:val="20"/>
        </w:rPr>
      </w:pPr>
    </w:p>
    <w:p w14:paraId="114A7819" w14:textId="77777777" w:rsidR="00324C0D" w:rsidRPr="00382A62" w:rsidRDefault="00324C0D" w:rsidP="00324C0D">
      <w:pPr>
        <w:jc w:val="center"/>
        <w:rPr>
          <w:rFonts w:cs="Arial"/>
          <w:szCs w:val="20"/>
        </w:rPr>
      </w:pPr>
      <w:r w:rsidRPr="00382A62">
        <w:rPr>
          <w:rFonts w:cs="Arial"/>
          <w:szCs w:val="20"/>
        </w:rPr>
        <w:t>PUESTOS DE BOLSA REPRESENTANTES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624"/>
        <w:gridCol w:w="2518"/>
        <w:gridCol w:w="2518"/>
      </w:tblGrid>
      <w:tr w:rsidR="00DF52CD" w:rsidRPr="00382A62" w14:paraId="5C61D5A1" w14:textId="77777777" w:rsidTr="00DF52CD">
        <w:tc>
          <w:tcPr>
            <w:tcW w:w="2410" w:type="dxa"/>
            <w:vAlign w:val="center"/>
          </w:tcPr>
          <w:p w14:paraId="70EE1FC3" w14:textId="77777777" w:rsidR="00172055" w:rsidRPr="00382A62" w:rsidRDefault="00741441" w:rsidP="004708DB">
            <w:pPr>
              <w:jc w:val="center"/>
              <w:rPr>
                <w:rFonts w:cs="Arial"/>
                <w:szCs w:val="20"/>
              </w:rPr>
            </w:pPr>
            <w:r w:rsidRPr="00382A62">
              <w:rPr>
                <w:rFonts w:cs="Arial"/>
                <w:noProof/>
                <w:szCs w:val="20"/>
              </w:rPr>
              <w:drawing>
                <wp:inline distT="0" distB="0" distL="0" distR="0" wp14:anchorId="122D7423" wp14:editId="74CD0F4B">
                  <wp:extent cx="390525" cy="49385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sama.jpg"/>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403856" cy="510713"/>
                          </a:xfrm>
                          <a:prstGeom prst="rect">
                            <a:avLst/>
                          </a:prstGeom>
                        </pic:spPr>
                      </pic:pic>
                    </a:graphicData>
                  </a:graphic>
                </wp:inline>
              </w:drawing>
            </w:r>
          </w:p>
        </w:tc>
        <w:tc>
          <w:tcPr>
            <w:tcW w:w="2624" w:type="dxa"/>
            <w:vAlign w:val="center"/>
          </w:tcPr>
          <w:p w14:paraId="7A455D05" w14:textId="4E011042" w:rsidR="00172055" w:rsidRPr="00382A62" w:rsidRDefault="00DF52CD" w:rsidP="000A6009">
            <w:pPr>
              <w:jc w:val="center"/>
              <w:rPr>
                <w:rFonts w:cs="Arial"/>
                <w:szCs w:val="20"/>
              </w:rPr>
            </w:pPr>
            <w:r w:rsidRPr="00382A62">
              <w:rPr>
                <w:rFonts w:cs="Arial"/>
                <w:noProof/>
                <w:szCs w:val="20"/>
              </w:rPr>
              <w:drawing>
                <wp:inline distT="0" distB="0" distL="0" distR="0" wp14:anchorId="19D9A2E0" wp14:editId="5630C464">
                  <wp:extent cx="1060218" cy="382651"/>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3112" b="30796"/>
                          <a:stretch/>
                        </pic:blipFill>
                        <pic:spPr bwMode="auto">
                          <a:xfrm>
                            <a:off x="0" y="0"/>
                            <a:ext cx="1142000" cy="412167"/>
                          </a:xfrm>
                          <a:prstGeom prst="rect">
                            <a:avLst/>
                          </a:prstGeom>
                          <a:ln>
                            <a:noFill/>
                          </a:ln>
                          <a:extLst>
                            <a:ext uri="{53640926-AAD7-44D8-BBD7-CCE9431645EC}">
                              <a14:shadowObscured xmlns:a14="http://schemas.microsoft.com/office/drawing/2010/main"/>
                            </a:ext>
                          </a:extLst>
                        </pic:spPr>
                      </pic:pic>
                    </a:graphicData>
                  </a:graphic>
                </wp:inline>
              </w:drawing>
            </w:r>
          </w:p>
        </w:tc>
        <w:tc>
          <w:tcPr>
            <w:tcW w:w="2518" w:type="dxa"/>
            <w:vAlign w:val="center"/>
          </w:tcPr>
          <w:p w14:paraId="520E7948" w14:textId="77777777" w:rsidR="00172055" w:rsidRPr="00382A62" w:rsidRDefault="000A6009" w:rsidP="000A6009">
            <w:pPr>
              <w:jc w:val="center"/>
              <w:rPr>
                <w:rFonts w:cs="Arial"/>
                <w:szCs w:val="20"/>
              </w:rPr>
            </w:pPr>
            <w:r w:rsidRPr="00382A62">
              <w:rPr>
                <w:rFonts w:cs="Arial"/>
                <w:noProof/>
                <w:szCs w:val="20"/>
                <w:lang w:eastAsia="es-CR"/>
              </w:rPr>
              <w:drawing>
                <wp:inline distT="0" distB="0" distL="0" distR="0" wp14:anchorId="3E80DFB8" wp14:editId="71137167">
                  <wp:extent cx="933450" cy="343562"/>
                  <wp:effectExtent l="0" t="0" r="0" b="0"/>
                  <wp:docPr id="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970352" cy="357144"/>
                          </a:xfrm>
                          <a:prstGeom prst="rect">
                            <a:avLst/>
                          </a:prstGeom>
                          <a:noFill/>
                          <a:ln w="9525">
                            <a:noFill/>
                            <a:miter lim="800000"/>
                            <a:headEnd/>
                            <a:tailEnd/>
                          </a:ln>
                        </pic:spPr>
                      </pic:pic>
                    </a:graphicData>
                  </a:graphic>
                </wp:inline>
              </w:drawing>
            </w:r>
          </w:p>
        </w:tc>
        <w:tc>
          <w:tcPr>
            <w:tcW w:w="2518" w:type="dxa"/>
            <w:vAlign w:val="center"/>
          </w:tcPr>
          <w:p w14:paraId="104FB1BA" w14:textId="77777777" w:rsidR="00172055" w:rsidRPr="00382A62" w:rsidRDefault="005C59EE" w:rsidP="005C59EE">
            <w:pPr>
              <w:jc w:val="center"/>
              <w:rPr>
                <w:rFonts w:cs="Arial"/>
                <w:szCs w:val="20"/>
              </w:rPr>
            </w:pPr>
            <w:r w:rsidRPr="00382A62">
              <w:rPr>
                <w:rFonts w:cs="Arial"/>
                <w:noProof/>
                <w:szCs w:val="20"/>
              </w:rPr>
              <w:drawing>
                <wp:inline distT="0" distB="0" distL="0" distR="0" wp14:anchorId="11F27B46" wp14:editId="1E6FF3D7">
                  <wp:extent cx="962025" cy="3112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redomatic_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1458" cy="314278"/>
                          </a:xfrm>
                          <a:prstGeom prst="rect">
                            <a:avLst/>
                          </a:prstGeom>
                        </pic:spPr>
                      </pic:pic>
                    </a:graphicData>
                  </a:graphic>
                </wp:inline>
              </w:drawing>
            </w:r>
          </w:p>
        </w:tc>
      </w:tr>
      <w:tr w:rsidR="00DF52CD" w:rsidRPr="00382A62" w14:paraId="4922DC1E" w14:textId="77777777" w:rsidTr="00DF52CD">
        <w:tc>
          <w:tcPr>
            <w:tcW w:w="2410" w:type="dxa"/>
          </w:tcPr>
          <w:p w14:paraId="304D7002" w14:textId="77777777" w:rsidR="00172055" w:rsidRPr="00382A62" w:rsidRDefault="00B53596" w:rsidP="00741441">
            <w:pPr>
              <w:spacing w:line="276" w:lineRule="auto"/>
              <w:jc w:val="center"/>
              <w:rPr>
                <w:rFonts w:cs="Arial"/>
                <w:szCs w:val="20"/>
              </w:rPr>
            </w:pPr>
            <w:r w:rsidRPr="00382A62">
              <w:rPr>
                <w:rFonts w:cs="Arial"/>
                <w:szCs w:val="20"/>
              </w:rPr>
              <w:t>Inversiones SAMA S.A., Puesto de Bolsa S.A.</w:t>
            </w:r>
          </w:p>
        </w:tc>
        <w:tc>
          <w:tcPr>
            <w:tcW w:w="2624" w:type="dxa"/>
          </w:tcPr>
          <w:p w14:paraId="25CED37F" w14:textId="0B7175C2" w:rsidR="00172055" w:rsidRPr="00382A62" w:rsidRDefault="00AC2A22" w:rsidP="00741441">
            <w:pPr>
              <w:spacing w:line="276" w:lineRule="auto"/>
              <w:jc w:val="center"/>
              <w:rPr>
                <w:rFonts w:cs="Arial"/>
                <w:szCs w:val="20"/>
              </w:rPr>
            </w:pPr>
            <w:r w:rsidRPr="00382A62">
              <w:rPr>
                <w:rFonts w:cs="Arial"/>
                <w:szCs w:val="20"/>
              </w:rPr>
              <w:t xml:space="preserve">Mercado de Valores de Costa Rica, Puesto de </w:t>
            </w:r>
            <w:r w:rsidR="00F40B9E" w:rsidRPr="00382A62">
              <w:rPr>
                <w:rFonts w:cs="Arial"/>
                <w:szCs w:val="20"/>
              </w:rPr>
              <w:t xml:space="preserve">Bolsa </w:t>
            </w:r>
            <w:r w:rsidRPr="00382A62">
              <w:rPr>
                <w:rFonts w:cs="Arial"/>
                <w:szCs w:val="20"/>
              </w:rPr>
              <w:t>S.A.</w:t>
            </w:r>
          </w:p>
        </w:tc>
        <w:tc>
          <w:tcPr>
            <w:tcW w:w="2518" w:type="dxa"/>
          </w:tcPr>
          <w:p w14:paraId="0A946FA7" w14:textId="77777777" w:rsidR="00172055" w:rsidRPr="00382A62" w:rsidRDefault="003F16AC" w:rsidP="00741441">
            <w:pPr>
              <w:spacing w:line="276" w:lineRule="auto"/>
              <w:jc w:val="center"/>
              <w:rPr>
                <w:rFonts w:cs="Arial"/>
                <w:szCs w:val="20"/>
              </w:rPr>
            </w:pPr>
            <w:r w:rsidRPr="00382A62">
              <w:rPr>
                <w:rFonts w:cs="Arial"/>
                <w:szCs w:val="20"/>
              </w:rPr>
              <w:t>Popular Valores, Puesto de Bolsa S.A.</w:t>
            </w:r>
          </w:p>
        </w:tc>
        <w:tc>
          <w:tcPr>
            <w:tcW w:w="2518" w:type="dxa"/>
          </w:tcPr>
          <w:p w14:paraId="7B8C1C33" w14:textId="77777777" w:rsidR="00172055" w:rsidRPr="00382A62" w:rsidRDefault="0055163C" w:rsidP="00741441">
            <w:pPr>
              <w:spacing w:line="276" w:lineRule="auto"/>
              <w:jc w:val="center"/>
              <w:rPr>
                <w:rFonts w:cs="Arial"/>
                <w:szCs w:val="20"/>
              </w:rPr>
            </w:pPr>
            <w:r w:rsidRPr="00382A62">
              <w:rPr>
                <w:rFonts w:cs="Arial"/>
                <w:szCs w:val="20"/>
              </w:rPr>
              <w:t>BAC San José, Puesto de Bolsa S.A.</w:t>
            </w:r>
          </w:p>
        </w:tc>
      </w:tr>
    </w:tbl>
    <w:p w14:paraId="59635406" w14:textId="77777777" w:rsidR="00172055" w:rsidRPr="00382A62" w:rsidRDefault="00172055" w:rsidP="00324C0D">
      <w:pPr>
        <w:rPr>
          <w:rFonts w:cs="Arial"/>
          <w:szCs w:val="20"/>
        </w:rPr>
      </w:pPr>
    </w:p>
    <w:p w14:paraId="529B3DF3" w14:textId="66A80C94" w:rsidR="00741441" w:rsidRPr="00382A62" w:rsidRDefault="00891EDF" w:rsidP="00A00ECA">
      <w:pPr>
        <w:jc w:val="center"/>
        <w:rPr>
          <w:rFonts w:cs="Arial"/>
          <w:szCs w:val="20"/>
        </w:rPr>
      </w:pPr>
      <w:r w:rsidRPr="00382A62">
        <w:rPr>
          <w:rFonts w:cs="Arial"/>
          <w:szCs w:val="20"/>
        </w:rPr>
        <w:t>"La autorización para realizar oferta pública no implica calificación</w:t>
      </w:r>
      <w:r w:rsidR="00A00ECA" w:rsidRPr="00382A62">
        <w:rPr>
          <w:rFonts w:cs="Arial"/>
          <w:szCs w:val="20"/>
        </w:rPr>
        <w:br/>
      </w:r>
      <w:r w:rsidRPr="00382A62">
        <w:rPr>
          <w:rFonts w:cs="Arial"/>
          <w:szCs w:val="20"/>
        </w:rPr>
        <w:t>sobre la emisión, ni la solvencia del emisor o intermediario".</w:t>
      </w:r>
    </w:p>
    <w:p w14:paraId="175F0D7D" w14:textId="77777777" w:rsidR="00B32E31" w:rsidRPr="00382A62" w:rsidRDefault="00B32E31" w:rsidP="00A00ECA">
      <w:pPr>
        <w:jc w:val="center"/>
        <w:rPr>
          <w:rFonts w:cs="Arial"/>
          <w:szCs w:val="20"/>
        </w:rPr>
      </w:pPr>
    </w:p>
    <w:p w14:paraId="59F9D7B2" w14:textId="77777777" w:rsidR="00B32E31" w:rsidRPr="00382A62" w:rsidRDefault="00B32E31" w:rsidP="00A00ECA">
      <w:pPr>
        <w:jc w:val="center"/>
        <w:rPr>
          <w:rFonts w:cs="Arial"/>
          <w:szCs w:val="20"/>
        </w:rPr>
      </w:pPr>
    </w:p>
    <w:p w14:paraId="591C39D6" w14:textId="77777777" w:rsidR="00B32E31" w:rsidRPr="00382A62" w:rsidRDefault="00B32E31" w:rsidP="00A00ECA">
      <w:pPr>
        <w:jc w:val="center"/>
        <w:rPr>
          <w:rFonts w:cs="Arial"/>
          <w:szCs w:val="20"/>
        </w:rPr>
      </w:pPr>
    </w:p>
    <w:p w14:paraId="792FAA53" w14:textId="77777777" w:rsidR="00B32E31" w:rsidRPr="00382A62" w:rsidRDefault="00B32E31" w:rsidP="00A00ECA">
      <w:pPr>
        <w:jc w:val="center"/>
        <w:rPr>
          <w:rFonts w:cs="Arial"/>
          <w:szCs w:val="20"/>
        </w:rPr>
      </w:pPr>
    </w:p>
    <w:p w14:paraId="64A0DA62" w14:textId="77777777" w:rsidR="007C238B" w:rsidRPr="00382A62" w:rsidRDefault="007C238B" w:rsidP="00BA0966">
      <w:pPr>
        <w:jc w:val="center"/>
        <w:rPr>
          <w:rFonts w:cs="Arial"/>
          <w:szCs w:val="20"/>
        </w:rPr>
      </w:pPr>
    </w:p>
    <w:p w14:paraId="28A46FF7" w14:textId="4A199C7D" w:rsidR="00BA0966" w:rsidRPr="00382A62" w:rsidRDefault="00BA0966" w:rsidP="00BA0966">
      <w:pPr>
        <w:jc w:val="center"/>
        <w:rPr>
          <w:rFonts w:cs="Arial"/>
          <w:szCs w:val="20"/>
        </w:rPr>
      </w:pPr>
      <w:r w:rsidRPr="00382A62">
        <w:rPr>
          <w:rFonts w:cs="Arial"/>
          <w:szCs w:val="20"/>
        </w:rPr>
        <w:t xml:space="preserve">FECHA DE ÚLTIMA ACTUALIZACIÓN DEL PROSPECTO: </w:t>
      </w:r>
      <w:r w:rsidR="00B32E31" w:rsidRPr="00382A62">
        <w:rPr>
          <w:rFonts w:cs="Arial"/>
          <w:szCs w:val="20"/>
        </w:rPr>
        <w:t>ABRIL</w:t>
      </w:r>
      <w:r w:rsidR="004731A9" w:rsidRPr="00382A62">
        <w:rPr>
          <w:rFonts w:cs="Arial"/>
          <w:szCs w:val="20"/>
        </w:rPr>
        <w:t xml:space="preserve"> </w:t>
      </w:r>
      <w:r w:rsidRPr="00382A62">
        <w:rPr>
          <w:rFonts w:cs="Arial"/>
          <w:szCs w:val="20"/>
        </w:rPr>
        <w:t>DE 202</w:t>
      </w:r>
      <w:r w:rsidR="00B32E31" w:rsidRPr="00382A62">
        <w:rPr>
          <w:rFonts w:cs="Arial"/>
          <w:szCs w:val="20"/>
        </w:rPr>
        <w:t>4</w:t>
      </w:r>
    </w:p>
    <w:p w14:paraId="476824A8" w14:textId="77777777" w:rsidR="00891EDF" w:rsidRPr="00382A62" w:rsidRDefault="00BA0966" w:rsidP="00BA0966">
      <w:pPr>
        <w:jc w:val="center"/>
        <w:rPr>
          <w:rFonts w:cs="Arial"/>
          <w:szCs w:val="20"/>
        </w:rPr>
      </w:pPr>
      <w:r w:rsidRPr="00382A62">
        <w:rPr>
          <w:rFonts w:cs="Arial"/>
          <w:szCs w:val="20"/>
        </w:rPr>
        <w:t xml:space="preserve"> Heredia, Costa Rica</w:t>
      </w:r>
    </w:p>
    <w:p w14:paraId="5300B668" w14:textId="77777777" w:rsidR="00FE6BD8" w:rsidRPr="00382A62" w:rsidRDefault="00FE6BD8" w:rsidP="007C5062">
      <w:pPr>
        <w:pStyle w:val="Ttulo2"/>
        <w:rPr>
          <w:rFonts w:cs="Arial"/>
          <w:sz w:val="20"/>
          <w:szCs w:val="20"/>
        </w:rPr>
      </w:pPr>
    </w:p>
    <w:p w14:paraId="01531747" w14:textId="71688D46" w:rsidR="00B56D98" w:rsidRPr="00622AB9" w:rsidRDefault="00ED3FA9" w:rsidP="007C5062">
      <w:pPr>
        <w:pStyle w:val="Ttulo2"/>
        <w:rPr>
          <w:rFonts w:cs="Arial"/>
          <w:b/>
          <w:bCs/>
          <w:sz w:val="20"/>
          <w:szCs w:val="20"/>
        </w:rPr>
      </w:pPr>
      <w:bookmarkStart w:id="6" w:name="_Toc131501053"/>
      <w:bookmarkStart w:id="7" w:name="_Toc169624612"/>
      <w:r w:rsidRPr="00622AB9">
        <w:rPr>
          <w:rFonts w:cs="Arial"/>
          <w:b/>
          <w:bCs/>
          <w:sz w:val="20"/>
          <w:szCs w:val="20"/>
        </w:rPr>
        <w:t>Notas importantes</w:t>
      </w:r>
      <w:r w:rsidR="00BC3D10" w:rsidRPr="00622AB9">
        <w:rPr>
          <w:rFonts w:cs="Arial"/>
          <w:b/>
          <w:bCs/>
          <w:sz w:val="20"/>
          <w:szCs w:val="20"/>
        </w:rPr>
        <w:t xml:space="preserve"> para el inversionista</w:t>
      </w:r>
      <w:bookmarkEnd w:id="6"/>
      <w:bookmarkEnd w:id="7"/>
    </w:p>
    <w:p w14:paraId="6BB0B4E4" w14:textId="7905ABB4" w:rsidR="00D044C5" w:rsidRPr="00382A62" w:rsidRDefault="00D044C5" w:rsidP="00D044C5">
      <w:pPr>
        <w:rPr>
          <w:rFonts w:cs="Arial"/>
          <w:szCs w:val="20"/>
        </w:rPr>
      </w:pPr>
      <w:r w:rsidRPr="00382A62">
        <w:rPr>
          <w:rFonts w:cs="Arial"/>
          <w:szCs w:val="20"/>
        </w:rPr>
        <w:t xml:space="preserve">Señor inversionista, es su deber y derecho conocer el contenido del </w:t>
      </w:r>
      <w:r w:rsidR="0047495E">
        <w:rPr>
          <w:rFonts w:cs="Arial"/>
          <w:szCs w:val="20"/>
        </w:rPr>
        <w:t>P</w:t>
      </w:r>
      <w:r w:rsidRPr="00382A62">
        <w:rPr>
          <w:rFonts w:cs="Arial"/>
          <w:szCs w:val="20"/>
        </w:rPr>
        <w:t xml:space="preserve">rospecto antes de tomar la decisión de invertir, este le brinda información sobre la emisión, la información relevante relativa al emisor, así como los riesgos asociados tanto a la emisión como al emisor. La información estipulada en el prospecto es de carácter vinculante para la empresa, lo que significa que esta será responsable legalmente por la información que se consigne en el </w:t>
      </w:r>
      <w:r w:rsidR="0047495E">
        <w:rPr>
          <w:rFonts w:cs="Arial"/>
          <w:szCs w:val="20"/>
        </w:rPr>
        <w:t>P</w:t>
      </w:r>
      <w:r w:rsidRPr="00382A62">
        <w:rPr>
          <w:rFonts w:cs="Arial"/>
          <w:szCs w:val="20"/>
        </w:rPr>
        <w:t>rospecto.</w:t>
      </w:r>
    </w:p>
    <w:p w14:paraId="75186E36" w14:textId="77777777" w:rsidR="00D044C5" w:rsidRPr="00382A62" w:rsidRDefault="00D044C5" w:rsidP="00D044C5">
      <w:pPr>
        <w:rPr>
          <w:rFonts w:cs="Arial"/>
          <w:szCs w:val="20"/>
        </w:rPr>
      </w:pPr>
      <w:r w:rsidRPr="00382A62">
        <w:rPr>
          <w:rFonts w:cs="Arial"/>
          <w:szCs w:val="20"/>
        </w:rPr>
        <w:t>Consulte los comunicados de hechos relevantes que realiza el emisor sobre los acontecimientos que pueden incidir en el desempeño de la empresa y los informes financieros periódicos. Complemente su análisis con la calificación de riesgo actualizada por las empresas calificadoras de riesgo.</w:t>
      </w:r>
    </w:p>
    <w:p w14:paraId="4548FBD6" w14:textId="77777777" w:rsidR="00D044C5" w:rsidRPr="00382A62" w:rsidRDefault="00D044C5" w:rsidP="00D044C5">
      <w:pPr>
        <w:rPr>
          <w:rFonts w:cs="Arial"/>
          <w:szCs w:val="20"/>
        </w:rPr>
      </w:pPr>
      <w:r w:rsidRPr="00382A62">
        <w:rPr>
          <w:rFonts w:cs="Arial"/>
          <w:szCs w:val="20"/>
        </w:rPr>
        <w:t>El comportamiento y desempeño de las empresas emisoras a través del tiempo no aseguran su solvencia y liquidez futuras. La inversión que realice será únicamente por su cuenta y riesgo. La Superintendencia General de Valores no emite criterio sobre la veracidad, exactitud o suficiencia de la información contenida en este prospecto.</w:t>
      </w:r>
    </w:p>
    <w:p w14:paraId="1BF22214" w14:textId="77777777" w:rsidR="00514750" w:rsidRPr="00382A62" w:rsidRDefault="00D044C5" w:rsidP="00D044C5">
      <w:pPr>
        <w:rPr>
          <w:rFonts w:cs="Arial"/>
          <w:szCs w:val="20"/>
        </w:rPr>
      </w:pPr>
      <w:r w:rsidRPr="00382A62">
        <w:rPr>
          <w:rFonts w:cs="Arial"/>
          <w:szCs w:val="20"/>
        </w:rPr>
        <w:t>La Superintendencia General de Valores y quienes intervienen en el proceso de intermediación bursátil, no asumen responsabilidad sobre la situación financiera de la empresa emisora.</w:t>
      </w:r>
    </w:p>
    <w:p w14:paraId="33120ADF" w14:textId="77777777" w:rsidR="00197260" w:rsidRPr="00382A62" w:rsidRDefault="00197260">
      <w:pPr>
        <w:spacing w:line="259" w:lineRule="auto"/>
        <w:jc w:val="left"/>
        <w:rPr>
          <w:rFonts w:cs="Arial"/>
          <w:szCs w:val="20"/>
        </w:rPr>
      </w:pPr>
      <w:r w:rsidRPr="00382A62">
        <w:rPr>
          <w:rFonts w:cs="Arial"/>
          <w:szCs w:val="20"/>
        </w:rPr>
        <w:br w:type="page"/>
      </w:r>
    </w:p>
    <w:p w14:paraId="5637C9ED" w14:textId="77777777" w:rsidR="00514750" w:rsidRPr="00382A62" w:rsidRDefault="00197260" w:rsidP="00197260">
      <w:pPr>
        <w:pStyle w:val="Ttulo2"/>
        <w:rPr>
          <w:rFonts w:cs="Arial"/>
          <w:sz w:val="20"/>
          <w:szCs w:val="20"/>
        </w:rPr>
      </w:pPr>
      <w:bookmarkStart w:id="8" w:name="_Toc131501054"/>
      <w:bookmarkStart w:id="9" w:name="_Toc169624613"/>
      <w:r w:rsidRPr="00382A62">
        <w:rPr>
          <w:rFonts w:cs="Arial"/>
          <w:sz w:val="20"/>
          <w:szCs w:val="20"/>
        </w:rPr>
        <w:lastRenderedPageBreak/>
        <w:t>Tabla de contenido</w:t>
      </w:r>
      <w:bookmarkEnd w:id="8"/>
      <w:bookmarkEnd w:id="9"/>
    </w:p>
    <w:sdt>
      <w:sdtPr>
        <w:rPr>
          <w:rFonts w:eastAsiaTheme="minorHAnsi" w:cs="Arial"/>
          <w:b w:val="0"/>
          <w:color w:val="auto"/>
          <w:sz w:val="20"/>
          <w:szCs w:val="20"/>
          <w:lang w:eastAsia="en-US"/>
        </w:rPr>
        <w:id w:val="-756295310"/>
        <w:docPartObj>
          <w:docPartGallery w:val="Table of Contents"/>
          <w:docPartUnique/>
        </w:docPartObj>
      </w:sdtPr>
      <w:sdtEndPr>
        <w:rPr>
          <w:bCs/>
        </w:rPr>
      </w:sdtEndPr>
      <w:sdtContent>
        <w:p w14:paraId="354A7CCA" w14:textId="77777777" w:rsidR="00514750" w:rsidRPr="00382A62" w:rsidRDefault="00514750" w:rsidP="00F63EFA">
          <w:pPr>
            <w:pStyle w:val="TtuloTDC"/>
            <w:spacing w:line="240" w:lineRule="auto"/>
            <w:rPr>
              <w:rFonts w:cs="Arial"/>
              <w:sz w:val="20"/>
              <w:szCs w:val="20"/>
            </w:rPr>
          </w:pPr>
          <w:r w:rsidRPr="00382A62">
            <w:rPr>
              <w:rFonts w:cs="Arial"/>
              <w:sz w:val="20"/>
              <w:szCs w:val="20"/>
            </w:rPr>
            <w:t>Contenido</w:t>
          </w:r>
        </w:p>
        <w:p w14:paraId="343F9C3E" w14:textId="54D5DBED" w:rsidR="001D1BD2" w:rsidRDefault="00514750">
          <w:pPr>
            <w:pStyle w:val="TDC1"/>
            <w:rPr>
              <w:rFonts w:asciiTheme="minorHAnsi" w:eastAsiaTheme="minorEastAsia" w:hAnsiTheme="minorHAnsi"/>
              <w:noProof/>
              <w:kern w:val="2"/>
              <w:sz w:val="24"/>
              <w:szCs w:val="24"/>
              <w:lang w:val="es-419" w:eastAsia="es-419"/>
              <w14:ligatures w14:val="standardContextual"/>
            </w:rPr>
          </w:pPr>
          <w:r w:rsidRPr="00382A62">
            <w:rPr>
              <w:rFonts w:cs="Arial"/>
              <w:szCs w:val="20"/>
            </w:rPr>
            <w:fldChar w:fldCharType="begin"/>
          </w:r>
          <w:r w:rsidRPr="00382A62">
            <w:rPr>
              <w:rFonts w:cs="Arial"/>
              <w:szCs w:val="20"/>
            </w:rPr>
            <w:instrText xml:space="preserve"> TOC \o "1-3" \h \z \u </w:instrText>
          </w:r>
          <w:r w:rsidRPr="00382A62">
            <w:rPr>
              <w:rFonts w:cs="Arial"/>
              <w:szCs w:val="20"/>
            </w:rPr>
            <w:fldChar w:fldCharType="separate"/>
          </w:r>
          <w:hyperlink w:anchor="_Toc169624609" w:history="1">
            <w:r w:rsidR="001D1BD2" w:rsidRPr="00552E32">
              <w:rPr>
                <w:rStyle w:val="Hipervnculo"/>
                <w:rFonts w:cs="Arial"/>
                <w:noProof/>
                <w:lang w:val="en-US"/>
              </w:rPr>
              <w:t>Prospecto</w:t>
            </w:r>
            <w:r w:rsidR="001D1BD2">
              <w:rPr>
                <w:noProof/>
                <w:webHidden/>
              </w:rPr>
              <w:tab/>
            </w:r>
            <w:r w:rsidR="001D1BD2">
              <w:rPr>
                <w:noProof/>
                <w:webHidden/>
              </w:rPr>
              <w:fldChar w:fldCharType="begin"/>
            </w:r>
            <w:r w:rsidR="001D1BD2">
              <w:rPr>
                <w:noProof/>
                <w:webHidden/>
              </w:rPr>
              <w:instrText xml:space="preserve"> PAGEREF _Toc169624609 \h </w:instrText>
            </w:r>
            <w:r w:rsidR="001D1BD2">
              <w:rPr>
                <w:noProof/>
                <w:webHidden/>
              </w:rPr>
            </w:r>
            <w:r w:rsidR="001D1BD2">
              <w:rPr>
                <w:noProof/>
                <w:webHidden/>
              </w:rPr>
              <w:fldChar w:fldCharType="separate"/>
            </w:r>
            <w:r w:rsidR="001D1BD2">
              <w:rPr>
                <w:noProof/>
                <w:webHidden/>
              </w:rPr>
              <w:t>2</w:t>
            </w:r>
            <w:r w:rsidR="001D1BD2">
              <w:rPr>
                <w:noProof/>
                <w:webHidden/>
              </w:rPr>
              <w:fldChar w:fldCharType="end"/>
            </w:r>
          </w:hyperlink>
        </w:p>
        <w:p w14:paraId="0759D29D" w14:textId="2326FACA" w:rsidR="001D1BD2" w:rsidRDefault="00000000">
          <w:pPr>
            <w:pStyle w:val="TDC1"/>
            <w:rPr>
              <w:rFonts w:asciiTheme="minorHAnsi" w:eastAsiaTheme="minorEastAsia" w:hAnsiTheme="minorHAnsi"/>
              <w:noProof/>
              <w:kern w:val="2"/>
              <w:sz w:val="24"/>
              <w:szCs w:val="24"/>
              <w:lang w:val="es-419" w:eastAsia="es-419"/>
              <w14:ligatures w14:val="standardContextual"/>
            </w:rPr>
          </w:pPr>
          <w:hyperlink w:anchor="_Toc169624610" w:history="1">
            <w:r w:rsidR="001D1BD2" w:rsidRPr="00552E32">
              <w:rPr>
                <w:rStyle w:val="Hipervnculo"/>
                <w:rFonts w:cs="Arial"/>
                <w:noProof/>
                <w:lang w:val="en-US"/>
              </w:rPr>
              <w:t>Florida Ice and Farm Company, S.A,</w:t>
            </w:r>
            <w:r w:rsidR="001D1BD2">
              <w:rPr>
                <w:noProof/>
                <w:webHidden/>
              </w:rPr>
              <w:tab/>
            </w:r>
            <w:r w:rsidR="001D1BD2">
              <w:rPr>
                <w:noProof/>
                <w:webHidden/>
              </w:rPr>
              <w:fldChar w:fldCharType="begin"/>
            </w:r>
            <w:r w:rsidR="001D1BD2">
              <w:rPr>
                <w:noProof/>
                <w:webHidden/>
              </w:rPr>
              <w:instrText xml:space="preserve"> PAGEREF _Toc169624610 \h </w:instrText>
            </w:r>
            <w:r w:rsidR="001D1BD2">
              <w:rPr>
                <w:noProof/>
                <w:webHidden/>
              </w:rPr>
            </w:r>
            <w:r w:rsidR="001D1BD2">
              <w:rPr>
                <w:noProof/>
                <w:webHidden/>
              </w:rPr>
              <w:fldChar w:fldCharType="separate"/>
            </w:r>
            <w:r w:rsidR="001D1BD2">
              <w:rPr>
                <w:noProof/>
                <w:webHidden/>
              </w:rPr>
              <w:t>2</w:t>
            </w:r>
            <w:r w:rsidR="001D1BD2">
              <w:rPr>
                <w:noProof/>
                <w:webHidden/>
              </w:rPr>
              <w:fldChar w:fldCharType="end"/>
            </w:r>
          </w:hyperlink>
        </w:p>
        <w:p w14:paraId="1BF18D94" w14:textId="6B5B65EB"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11" w:history="1">
            <w:r w:rsidR="001D1BD2" w:rsidRPr="00552E32">
              <w:rPr>
                <w:rStyle w:val="Hipervnculo"/>
                <w:rFonts w:cs="Arial"/>
                <w:noProof/>
              </w:rPr>
              <w:t>Emisiones inscritas y autorizadas por la Superintendencia General de Valores</w:t>
            </w:r>
            <w:r w:rsidR="001D1BD2">
              <w:rPr>
                <w:noProof/>
                <w:webHidden/>
              </w:rPr>
              <w:tab/>
            </w:r>
            <w:r w:rsidR="001D1BD2">
              <w:rPr>
                <w:noProof/>
                <w:webHidden/>
              </w:rPr>
              <w:fldChar w:fldCharType="begin"/>
            </w:r>
            <w:r w:rsidR="001D1BD2">
              <w:rPr>
                <w:noProof/>
                <w:webHidden/>
              </w:rPr>
              <w:instrText xml:space="preserve"> PAGEREF _Toc169624611 \h </w:instrText>
            </w:r>
            <w:r w:rsidR="001D1BD2">
              <w:rPr>
                <w:noProof/>
                <w:webHidden/>
              </w:rPr>
            </w:r>
            <w:r w:rsidR="001D1BD2">
              <w:rPr>
                <w:noProof/>
                <w:webHidden/>
              </w:rPr>
              <w:fldChar w:fldCharType="separate"/>
            </w:r>
            <w:r w:rsidR="001D1BD2">
              <w:rPr>
                <w:noProof/>
                <w:webHidden/>
              </w:rPr>
              <w:t>2</w:t>
            </w:r>
            <w:r w:rsidR="001D1BD2">
              <w:rPr>
                <w:noProof/>
                <w:webHidden/>
              </w:rPr>
              <w:fldChar w:fldCharType="end"/>
            </w:r>
          </w:hyperlink>
        </w:p>
        <w:p w14:paraId="1CD1379E" w14:textId="39601196"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12" w:history="1">
            <w:r w:rsidR="001D1BD2" w:rsidRPr="00552E32">
              <w:rPr>
                <w:rStyle w:val="Hipervnculo"/>
                <w:rFonts w:cs="Arial"/>
                <w:b/>
                <w:bCs/>
                <w:noProof/>
              </w:rPr>
              <w:t>Notas importantes para el inversionista</w:t>
            </w:r>
            <w:r w:rsidR="001D1BD2">
              <w:rPr>
                <w:noProof/>
                <w:webHidden/>
              </w:rPr>
              <w:tab/>
            </w:r>
            <w:r w:rsidR="001D1BD2">
              <w:rPr>
                <w:noProof/>
                <w:webHidden/>
              </w:rPr>
              <w:fldChar w:fldCharType="begin"/>
            </w:r>
            <w:r w:rsidR="001D1BD2">
              <w:rPr>
                <w:noProof/>
                <w:webHidden/>
              </w:rPr>
              <w:instrText xml:space="preserve"> PAGEREF _Toc169624612 \h </w:instrText>
            </w:r>
            <w:r w:rsidR="001D1BD2">
              <w:rPr>
                <w:noProof/>
                <w:webHidden/>
              </w:rPr>
            </w:r>
            <w:r w:rsidR="001D1BD2">
              <w:rPr>
                <w:noProof/>
                <w:webHidden/>
              </w:rPr>
              <w:fldChar w:fldCharType="separate"/>
            </w:r>
            <w:r w:rsidR="001D1BD2">
              <w:rPr>
                <w:noProof/>
                <w:webHidden/>
              </w:rPr>
              <w:t>3</w:t>
            </w:r>
            <w:r w:rsidR="001D1BD2">
              <w:rPr>
                <w:noProof/>
                <w:webHidden/>
              </w:rPr>
              <w:fldChar w:fldCharType="end"/>
            </w:r>
          </w:hyperlink>
        </w:p>
        <w:p w14:paraId="214F5B80" w14:textId="0D59A8C5"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13" w:history="1">
            <w:r w:rsidR="001D1BD2" w:rsidRPr="00552E32">
              <w:rPr>
                <w:rStyle w:val="Hipervnculo"/>
                <w:rFonts w:cs="Arial"/>
                <w:noProof/>
              </w:rPr>
              <w:t>Tabla de contenido</w:t>
            </w:r>
            <w:r w:rsidR="001D1BD2">
              <w:rPr>
                <w:noProof/>
                <w:webHidden/>
              </w:rPr>
              <w:tab/>
            </w:r>
            <w:r w:rsidR="001D1BD2">
              <w:rPr>
                <w:noProof/>
                <w:webHidden/>
              </w:rPr>
              <w:fldChar w:fldCharType="begin"/>
            </w:r>
            <w:r w:rsidR="001D1BD2">
              <w:rPr>
                <w:noProof/>
                <w:webHidden/>
              </w:rPr>
              <w:instrText xml:space="preserve"> PAGEREF _Toc169624613 \h </w:instrText>
            </w:r>
            <w:r w:rsidR="001D1BD2">
              <w:rPr>
                <w:noProof/>
                <w:webHidden/>
              </w:rPr>
            </w:r>
            <w:r w:rsidR="001D1BD2">
              <w:rPr>
                <w:noProof/>
                <w:webHidden/>
              </w:rPr>
              <w:fldChar w:fldCharType="separate"/>
            </w:r>
            <w:r w:rsidR="001D1BD2">
              <w:rPr>
                <w:noProof/>
                <w:webHidden/>
              </w:rPr>
              <w:t>4</w:t>
            </w:r>
            <w:r w:rsidR="001D1BD2">
              <w:rPr>
                <w:noProof/>
                <w:webHidden/>
              </w:rPr>
              <w:fldChar w:fldCharType="end"/>
            </w:r>
          </w:hyperlink>
        </w:p>
        <w:p w14:paraId="7C7612B1" w14:textId="7A38743C"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14" w:history="1">
            <w:r w:rsidR="001D1BD2" w:rsidRPr="00552E32">
              <w:rPr>
                <w:rStyle w:val="Hipervnculo"/>
                <w:rFonts w:cs="Arial"/>
                <w:noProof/>
              </w:rPr>
              <w:t>Índice de Cuadros</w:t>
            </w:r>
            <w:r w:rsidR="001D1BD2">
              <w:rPr>
                <w:noProof/>
                <w:webHidden/>
              </w:rPr>
              <w:tab/>
            </w:r>
            <w:r w:rsidR="001D1BD2">
              <w:rPr>
                <w:noProof/>
                <w:webHidden/>
              </w:rPr>
              <w:fldChar w:fldCharType="begin"/>
            </w:r>
            <w:r w:rsidR="001D1BD2">
              <w:rPr>
                <w:noProof/>
                <w:webHidden/>
              </w:rPr>
              <w:instrText xml:space="preserve"> PAGEREF _Toc169624614 \h </w:instrText>
            </w:r>
            <w:r w:rsidR="001D1BD2">
              <w:rPr>
                <w:noProof/>
                <w:webHidden/>
              </w:rPr>
            </w:r>
            <w:r w:rsidR="001D1BD2">
              <w:rPr>
                <w:noProof/>
                <w:webHidden/>
              </w:rPr>
              <w:fldChar w:fldCharType="separate"/>
            </w:r>
            <w:r w:rsidR="001D1BD2">
              <w:rPr>
                <w:noProof/>
                <w:webHidden/>
              </w:rPr>
              <w:t>7</w:t>
            </w:r>
            <w:r w:rsidR="001D1BD2">
              <w:rPr>
                <w:noProof/>
                <w:webHidden/>
              </w:rPr>
              <w:fldChar w:fldCharType="end"/>
            </w:r>
          </w:hyperlink>
        </w:p>
        <w:p w14:paraId="58B7FE4B" w14:textId="3EF72360"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15" w:history="1">
            <w:r w:rsidR="001D1BD2" w:rsidRPr="00552E32">
              <w:rPr>
                <w:rStyle w:val="Hipervnculo"/>
                <w:rFonts w:cs="Arial"/>
                <w:noProof/>
              </w:rPr>
              <w:t>Índice de ilustraciones</w:t>
            </w:r>
            <w:r w:rsidR="001D1BD2">
              <w:rPr>
                <w:noProof/>
                <w:webHidden/>
              </w:rPr>
              <w:tab/>
            </w:r>
            <w:r w:rsidR="001D1BD2">
              <w:rPr>
                <w:noProof/>
                <w:webHidden/>
              </w:rPr>
              <w:fldChar w:fldCharType="begin"/>
            </w:r>
            <w:r w:rsidR="001D1BD2">
              <w:rPr>
                <w:noProof/>
                <w:webHidden/>
              </w:rPr>
              <w:instrText xml:space="preserve"> PAGEREF _Toc169624615 \h </w:instrText>
            </w:r>
            <w:r w:rsidR="001D1BD2">
              <w:rPr>
                <w:noProof/>
                <w:webHidden/>
              </w:rPr>
            </w:r>
            <w:r w:rsidR="001D1BD2">
              <w:rPr>
                <w:noProof/>
                <w:webHidden/>
              </w:rPr>
              <w:fldChar w:fldCharType="separate"/>
            </w:r>
            <w:r w:rsidR="001D1BD2">
              <w:rPr>
                <w:noProof/>
                <w:webHidden/>
              </w:rPr>
              <w:t>8</w:t>
            </w:r>
            <w:r w:rsidR="001D1BD2">
              <w:rPr>
                <w:noProof/>
                <w:webHidden/>
              </w:rPr>
              <w:fldChar w:fldCharType="end"/>
            </w:r>
          </w:hyperlink>
        </w:p>
        <w:p w14:paraId="25A375F7" w14:textId="3D2F74A5" w:rsidR="001D1BD2" w:rsidRDefault="00000000">
          <w:pPr>
            <w:pStyle w:val="TDC1"/>
            <w:rPr>
              <w:rFonts w:asciiTheme="minorHAnsi" w:eastAsiaTheme="minorEastAsia" w:hAnsiTheme="minorHAnsi"/>
              <w:noProof/>
              <w:kern w:val="2"/>
              <w:sz w:val="24"/>
              <w:szCs w:val="24"/>
              <w:lang w:val="es-419" w:eastAsia="es-419"/>
              <w14:ligatures w14:val="standardContextual"/>
            </w:rPr>
          </w:pPr>
          <w:hyperlink w:anchor="_Toc169624616" w:history="1">
            <w:r w:rsidR="001D1BD2" w:rsidRPr="00552E32">
              <w:rPr>
                <w:rStyle w:val="Hipervnculo"/>
                <w:rFonts w:cs="Arial"/>
                <w:noProof/>
              </w:rPr>
              <w:t>Capítulo 1.</w:t>
            </w:r>
            <w:r w:rsidR="001D1BD2">
              <w:rPr>
                <w:noProof/>
                <w:webHidden/>
              </w:rPr>
              <w:tab/>
            </w:r>
            <w:r w:rsidR="001D1BD2">
              <w:rPr>
                <w:noProof/>
                <w:webHidden/>
              </w:rPr>
              <w:fldChar w:fldCharType="begin"/>
            </w:r>
            <w:r w:rsidR="001D1BD2">
              <w:rPr>
                <w:noProof/>
                <w:webHidden/>
              </w:rPr>
              <w:instrText xml:space="preserve"> PAGEREF _Toc169624616 \h </w:instrText>
            </w:r>
            <w:r w:rsidR="001D1BD2">
              <w:rPr>
                <w:noProof/>
                <w:webHidden/>
              </w:rPr>
            </w:r>
            <w:r w:rsidR="001D1BD2">
              <w:rPr>
                <w:noProof/>
                <w:webHidden/>
              </w:rPr>
              <w:fldChar w:fldCharType="separate"/>
            </w:r>
            <w:r w:rsidR="001D1BD2">
              <w:rPr>
                <w:noProof/>
                <w:webHidden/>
              </w:rPr>
              <w:t>9</w:t>
            </w:r>
            <w:r w:rsidR="001D1BD2">
              <w:rPr>
                <w:noProof/>
                <w:webHidden/>
              </w:rPr>
              <w:fldChar w:fldCharType="end"/>
            </w:r>
          </w:hyperlink>
        </w:p>
        <w:p w14:paraId="0AF13BBB" w14:textId="20B39837" w:rsidR="001D1BD2" w:rsidRDefault="00000000">
          <w:pPr>
            <w:pStyle w:val="TDC1"/>
            <w:rPr>
              <w:rFonts w:asciiTheme="minorHAnsi" w:eastAsiaTheme="minorEastAsia" w:hAnsiTheme="minorHAnsi"/>
              <w:noProof/>
              <w:kern w:val="2"/>
              <w:sz w:val="24"/>
              <w:szCs w:val="24"/>
              <w:lang w:val="es-419" w:eastAsia="es-419"/>
              <w14:ligatures w14:val="standardContextual"/>
            </w:rPr>
          </w:pPr>
          <w:hyperlink w:anchor="_Toc169624617" w:history="1">
            <w:r w:rsidR="001D1BD2" w:rsidRPr="00552E32">
              <w:rPr>
                <w:rStyle w:val="Hipervnculo"/>
                <w:rFonts w:cs="Arial"/>
                <w:noProof/>
              </w:rPr>
              <w:t>Información sobre las emisiones, la oferta e identificación de los directores, gerentes y asesores involucrados con el proceso de oferta pública</w:t>
            </w:r>
            <w:r w:rsidR="001D1BD2">
              <w:rPr>
                <w:noProof/>
                <w:webHidden/>
              </w:rPr>
              <w:tab/>
            </w:r>
            <w:r w:rsidR="001D1BD2">
              <w:rPr>
                <w:noProof/>
                <w:webHidden/>
              </w:rPr>
              <w:fldChar w:fldCharType="begin"/>
            </w:r>
            <w:r w:rsidR="001D1BD2">
              <w:rPr>
                <w:noProof/>
                <w:webHidden/>
              </w:rPr>
              <w:instrText xml:space="preserve"> PAGEREF _Toc169624617 \h </w:instrText>
            </w:r>
            <w:r w:rsidR="001D1BD2">
              <w:rPr>
                <w:noProof/>
                <w:webHidden/>
              </w:rPr>
            </w:r>
            <w:r w:rsidR="001D1BD2">
              <w:rPr>
                <w:noProof/>
                <w:webHidden/>
              </w:rPr>
              <w:fldChar w:fldCharType="separate"/>
            </w:r>
            <w:r w:rsidR="001D1BD2">
              <w:rPr>
                <w:noProof/>
                <w:webHidden/>
              </w:rPr>
              <w:t>9</w:t>
            </w:r>
            <w:r w:rsidR="001D1BD2">
              <w:rPr>
                <w:noProof/>
                <w:webHidden/>
              </w:rPr>
              <w:fldChar w:fldCharType="end"/>
            </w:r>
          </w:hyperlink>
        </w:p>
        <w:p w14:paraId="638D34D8" w14:textId="05926243"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18" w:history="1">
            <w:r w:rsidR="001D1BD2" w:rsidRPr="00552E32">
              <w:rPr>
                <w:rStyle w:val="Hipervnculo"/>
                <w:rFonts w:cs="Arial"/>
                <w:noProof/>
              </w:rPr>
              <w:t>1.</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Información sobre las emisiones</w:t>
            </w:r>
            <w:r w:rsidR="001D1BD2">
              <w:rPr>
                <w:noProof/>
                <w:webHidden/>
              </w:rPr>
              <w:tab/>
            </w:r>
            <w:r w:rsidR="001D1BD2">
              <w:rPr>
                <w:noProof/>
                <w:webHidden/>
              </w:rPr>
              <w:fldChar w:fldCharType="begin"/>
            </w:r>
            <w:r w:rsidR="001D1BD2">
              <w:rPr>
                <w:noProof/>
                <w:webHidden/>
              </w:rPr>
              <w:instrText xml:space="preserve"> PAGEREF _Toc169624618 \h </w:instrText>
            </w:r>
            <w:r w:rsidR="001D1BD2">
              <w:rPr>
                <w:noProof/>
                <w:webHidden/>
              </w:rPr>
            </w:r>
            <w:r w:rsidR="001D1BD2">
              <w:rPr>
                <w:noProof/>
                <w:webHidden/>
              </w:rPr>
              <w:fldChar w:fldCharType="separate"/>
            </w:r>
            <w:r w:rsidR="001D1BD2">
              <w:rPr>
                <w:noProof/>
                <w:webHidden/>
              </w:rPr>
              <w:t>10</w:t>
            </w:r>
            <w:r w:rsidR="001D1BD2">
              <w:rPr>
                <w:noProof/>
                <w:webHidden/>
              </w:rPr>
              <w:fldChar w:fldCharType="end"/>
            </w:r>
          </w:hyperlink>
        </w:p>
        <w:p w14:paraId="3B314059" w14:textId="04236D83"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19" w:history="1">
            <w:r w:rsidR="001D1BD2" w:rsidRPr="00552E32">
              <w:rPr>
                <w:rStyle w:val="Hipervnculo"/>
                <w:rFonts w:cs="Arial"/>
                <w:noProof/>
              </w:rPr>
              <w:t>1.1.</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Emisiones de Deuda</w:t>
            </w:r>
            <w:r w:rsidR="001D1BD2">
              <w:rPr>
                <w:noProof/>
                <w:webHidden/>
              </w:rPr>
              <w:tab/>
            </w:r>
            <w:r w:rsidR="001D1BD2">
              <w:rPr>
                <w:noProof/>
                <w:webHidden/>
              </w:rPr>
              <w:fldChar w:fldCharType="begin"/>
            </w:r>
            <w:r w:rsidR="001D1BD2">
              <w:rPr>
                <w:noProof/>
                <w:webHidden/>
              </w:rPr>
              <w:instrText xml:space="preserve"> PAGEREF _Toc169624619 \h </w:instrText>
            </w:r>
            <w:r w:rsidR="001D1BD2">
              <w:rPr>
                <w:noProof/>
                <w:webHidden/>
              </w:rPr>
            </w:r>
            <w:r w:rsidR="001D1BD2">
              <w:rPr>
                <w:noProof/>
                <w:webHidden/>
              </w:rPr>
              <w:fldChar w:fldCharType="separate"/>
            </w:r>
            <w:r w:rsidR="001D1BD2">
              <w:rPr>
                <w:noProof/>
                <w:webHidden/>
              </w:rPr>
              <w:t>10</w:t>
            </w:r>
            <w:r w:rsidR="001D1BD2">
              <w:rPr>
                <w:noProof/>
                <w:webHidden/>
              </w:rPr>
              <w:fldChar w:fldCharType="end"/>
            </w:r>
          </w:hyperlink>
        </w:p>
        <w:p w14:paraId="6B7E762A" w14:textId="75E342D6"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20" w:history="1">
            <w:r w:rsidR="001D1BD2" w:rsidRPr="00552E32">
              <w:rPr>
                <w:rStyle w:val="Hipervnculo"/>
                <w:rFonts w:cs="Arial"/>
                <w:noProof/>
              </w:rPr>
              <w:t>1.2.</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Emisión de Acciones</w:t>
            </w:r>
            <w:r w:rsidR="001D1BD2">
              <w:rPr>
                <w:noProof/>
                <w:webHidden/>
              </w:rPr>
              <w:tab/>
            </w:r>
            <w:r w:rsidR="001D1BD2">
              <w:rPr>
                <w:noProof/>
                <w:webHidden/>
              </w:rPr>
              <w:fldChar w:fldCharType="begin"/>
            </w:r>
            <w:r w:rsidR="001D1BD2">
              <w:rPr>
                <w:noProof/>
                <w:webHidden/>
              </w:rPr>
              <w:instrText xml:space="preserve"> PAGEREF _Toc169624620 \h </w:instrText>
            </w:r>
            <w:r w:rsidR="001D1BD2">
              <w:rPr>
                <w:noProof/>
                <w:webHidden/>
              </w:rPr>
            </w:r>
            <w:r w:rsidR="001D1BD2">
              <w:rPr>
                <w:noProof/>
                <w:webHidden/>
              </w:rPr>
              <w:fldChar w:fldCharType="separate"/>
            </w:r>
            <w:r w:rsidR="001D1BD2">
              <w:rPr>
                <w:noProof/>
                <w:webHidden/>
              </w:rPr>
              <w:t>20</w:t>
            </w:r>
            <w:r w:rsidR="001D1BD2">
              <w:rPr>
                <w:noProof/>
                <w:webHidden/>
              </w:rPr>
              <w:fldChar w:fldCharType="end"/>
            </w:r>
          </w:hyperlink>
        </w:p>
        <w:p w14:paraId="6D880F4F" w14:textId="3D6DFEC0"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21" w:history="1">
            <w:r w:rsidR="001D1BD2" w:rsidRPr="00552E32">
              <w:rPr>
                <w:rStyle w:val="Hipervnculo"/>
                <w:rFonts w:cs="Arial"/>
                <w:noProof/>
              </w:rPr>
              <w:t>2.</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Identificación de los directores, gerentes y asesores involucrados con el proceso de oferta pública</w:t>
            </w:r>
            <w:r w:rsidR="001D1BD2">
              <w:rPr>
                <w:noProof/>
                <w:webHidden/>
              </w:rPr>
              <w:tab/>
            </w:r>
            <w:r w:rsidR="001D1BD2">
              <w:rPr>
                <w:noProof/>
                <w:webHidden/>
              </w:rPr>
              <w:fldChar w:fldCharType="begin"/>
            </w:r>
            <w:r w:rsidR="001D1BD2">
              <w:rPr>
                <w:noProof/>
                <w:webHidden/>
              </w:rPr>
              <w:instrText xml:space="preserve"> PAGEREF _Toc169624621 \h </w:instrText>
            </w:r>
            <w:r w:rsidR="001D1BD2">
              <w:rPr>
                <w:noProof/>
                <w:webHidden/>
              </w:rPr>
            </w:r>
            <w:r w:rsidR="001D1BD2">
              <w:rPr>
                <w:noProof/>
                <w:webHidden/>
              </w:rPr>
              <w:fldChar w:fldCharType="separate"/>
            </w:r>
            <w:r w:rsidR="001D1BD2">
              <w:rPr>
                <w:noProof/>
                <w:webHidden/>
              </w:rPr>
              <w:t>23</w:t>
            </w:r>
            <w:r w:rsidR="001D1BD2">
              <w:rPr>
                <w:noProof/>
                <w:webHidden/>
              </w:rPr>
              <w:fldChar w:fldCharType="end"/>
            </w:r>
          </w:hyperlink>
        </w:p>
        <w:p w14:paraId="17C032D4" w14:textId="23A0D967" w:rsidR="001D1BD2" w:rsidRDefault="00000000">
          <w:pPr>
            <w:pStyle w:val="TDC1"/>
            <w:rPr>
              <w:rFonts w:asciiTheme="minorHAnsi" w:eastAsiaTheme="minorEastAsia" w:hAnsiTheme="minorHAnsi"/>
              <w:noProof/>
              <w:kern w:val="2"/>
              <w:sz w:val="24"/>
              <w:szCs w:val="24"/>
              <w:lang w:val="es-419" w:eastAsia="es-419"/>
              <w14:ligatures w14:val="standardContextual"/>
            </w:rPr>
          </w:pPr>
          <w:hyperlink w:anchor="_Toc169624622" w:history="1">
            <w:r w:rsidR="001D1BD2" w:rsidRPr="00552E32">
              <w:rPr>
                <w:rStyle w:val="Hipervnculo"/>
                <w:noProof/>
              </w:rPr>
              <w:t>Capítulo 2.</w:t>
            </w:r>
            <w:r w:rsidR="001D1BD2">
              <w:rPr>
                <w:noProof/>
                <w:webHidden/>
              </w:rPr>
              <w:tab/>
            </w:r>
            <w:r w:rsidR="001D1BD2">
              <w:rPr>
                <w:noProof/>
                <w:webHidden/>
              </w:rPr>
              <w:fldChar w:fldCharType="begin"/>
            </w:r>
            <w:r w:rsidR="001D1BD2">
              <w:rPr>
                <w:noProof/>
                <w:webHidden/>
              </w:rPr>
              <w:instrText xml:space="preserve"> PAGEREF _Toc169624622 \h </w:instrText>
            </w:r>
            <w:r w:rsidR="001D1BD2">
              <w:rPr>
                <w:noProof/>
                <w:webHidden/>
              </w:rPr>
            </w:r>
            <w:r w:rsidR="001D1BD2">
              <w:rPr>
                <w:noProof/>
                <w:webHidden/>
              </w:rPr>
              <w:fldChar w:fldCharType="separate"/>
            </w:r>
            <w:r w:rsidR="001D1BD2">
              <w:rPr>
                <w:noProof/>
                <w:webHidden/>
              </w:rPr>
              <w:t>24</w:t>
            </w:r>
            <w:r w:rsidR="001D1BD2">
              <w:rPr>
                <w:noProof/>
                <w:webHidden/>
              </w:rPr>
              <w:fldChar w:fldCharType="end"/>
            </w:r>
          </w:hyperlink>
        </w:p>
        <w:p w14:paraId="436A9C7F" w14:textId="20A6B18F" w:rsidR="001D1BD2" w:rsidRDefault="00000000">
          <w:pPr>
            <w:pStyle w:val="TDC1"/>
            <w:rPr>
              <w:rFonts w:asciiTheme="minorHAnsi" w:eastAsiaTheme="minorEastAsia" w:hAnsiTheme="minorHAnsi"/>
              <w:noProof/>
              <w:kern w:val="2"/>
              <w:sz w:val="24"/>
              <w:szCs w:val="24"/>
              <w:lang w:val="es-419" w:eastAsia="es-419"/>
              <w14:ligatures w14:val="standardContextual"/>
            </w:rPr>
          </w:pPr>
          <w:hyperlink w:anchor="_Toc169624623" w:history="1">
            <w:r w:rsidR="001D1BD2" w:rsidRPr="00552E32">
              <w:rPr>
                <w:rStyle w:val="Hipervnculo"/>
                <w:noProof/>
              </w:rPr>
              <w:t>Información esencial</w:t>
            </w:r>
            <w:r w:rsidR="001D1BD2">
              <w:rPr>
                <w:noProof/>
                <w:webHidden/>
              </w:rPr>
              <w:tab/>
            </w:r>
            <w:r w:rsidR="001D1BD2">
              <w:rPr>
                <w:noProof/>
                <w:webHidden/>
              </w:rPr>
              <w:fldChar w:fldCharType="begin"/>
            </w:r>
            <w:r w:rsidR="001D1BD2">
              <w:rPr>
                <w:noProof/>
                <w:webHidden/>
              </w:rPr>
              <w:instrText xml:space="preserve"> PAGEREF _Toc169624623 \h </w:instrText>
            </w:r>
            <w:r w:rsidR="001D1BD2">
              <w:rPr>
                <w:noProof/>
                <w:webHidden/>
              </w:rPr>
            </w:r>
            <w:r w:rsidR="001D1BD2">
              <w:rPr>
                <w:noProof/>
                <w:webHidden/>
              </w:rPr>
              <w:fldChar w:fldCharType="separate"/>
            </w:r>
            <w:r w:rsidR="001D1BD2">
              <w:rPr>
                <w:noProof/>
                <w:webHidden/>
              </w:rPr>
              <w:t>24</w:t>
            </w:r>
            <w:r w:rsidR="001D1BD2">
              <w:rPr>
                <w:noProof/>
                <w:webHidden/>
              </w:rPr>
              <w:fldChar w:fldCharType="end"/>
            </w:r>
          </w:hyperlink>
        </w:p>
        <w:p w14:paraId="6C0297CA" w14:textId="6AA7B83B"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24" w:history="1">
            <w:r w:rsidR="001D1BD2" w:rsidRPr="00552E32">
              <w:rPr>
                <w:rStyle w:val="Hipervnculo"/>
                <w:rFonts w:cs="Arial"/>
                <w:noProof/>
              </w:rPr>
              <w:t>1.</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Factores de riesgo que afectan a la emisión y a la empresa</w:t>
            </w:r>
            <w:r w:rsidR="001D1BD2">
              <w:rPr>
                <w:noProof/>
                <w:webHidden/>
              </w:rPr>
              <w:tab/>
            </w:r>
            <w:r w:rsidR="001D1BD2">
              <w:rPr>
                <w:noProof/>
                <w:webHidden/>
              </w:rPr>
              <w:fldChar w:fldCharType="begin"/>
            </w:r>
            <w:r w:rsidR="001D1BD2">
              <w:rPr>
                <w:noProof/>
                <w:webHidden/>
              </w:rPr>
              <w:instrText xml:space="preserve"> PAGEREF _Toc169624624 \h </w:instrText>
            </w:r>
            <w:r w:rsidR="001D1BD2">
              <w:rPr>
                <w:noProof/>
                <w:webHidden/>
              </w:rPr>
            </w:r>
            <w:r w:rsidR="001D1BD2">
              <w:rPr>
                <w:noProof/>
                <w:webHidden/>
              </w:rPr>
              <w:fldChar w:fldCharType="separate"/>
            </w:r>
            <w:r w:rsidR="001D1BD2">
              <w:rPr>
                <w:noProof/>
                <w:webHidden/>
              </w:rPr>
              <w:t>25</w:t>
            </w:r>
            <w:r w:rsidR="001D1BD2">
              <w:rPr>
                <w:noProof/>
                <w:webHidden/>
              </w:rPr>
              <w:fldChar w:fldCharType="end"/>
            </w:r>
          </w:hyperlink>
        </w:p>
        <w:p w14:paraId="3A86108D" w14:textId="72254F9E"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25" w:history="1">
            <w:r w:rsidR="001D1BD2" w:rsidRPr="00552E32">
              <w:rPr>
                <w:rStyle w:val="Hipervnculo"/>
                <w:rFonts w:cs="Arial"/>
                <w:noProof/>
              </w:rPr>
              <w:t>1.1.</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Riesgos</w:t>
            </w:r>
            <w:r w:rsidR="001D1BD2">
              <w:rPr>
                <w:noProof/>
                <w:webHidden/>
              </w:rPr>
              <w:tab/>
            </w:r>
            <w:r w:rsidR="001D1BD2">
              <w:rPr>
                <w:noProof/>
                <w:webHidden/>
              </w:rPr>
              <w:fldChar w:fldCharType="begin"/>
            </w:r>
            <w:r w:rsidR="001D1BD2">
              <w:rPr>
                <w:noProof/>
                <w:webHidden/>
              </w:rPr>
              <w:instrText xml:space="preserve"> PAGEREF _Toc169624625 \h </w:instrText>
            </w:r>
            <w:r w:rsidR="001D1BD2">
              <w:rPr>
                <w:noProof/>
                <w:webHidden/>
              </w:rPr>
            </w:r>
            <w:r w:rsidR="001D1BD2">
              <w:rPr>
                <w:noProof/>
                <w:webHidden/>
              </w:rPr>
              <w:fldChar w:fldCharType="separate"/>
            </w:r>
            <w:r w:rsidR="001D1BD2">
              <w:rPr>
                <w:noProof/>
                <w:webHidden/>
              </w:rPr>
              <w:t>25</w:t>
            </w:r>
            <w:r w:rsidR="001D1BD2">
              <w:rPr>
                <w:noProof/>
                <w:webHidden/>
              </w:rPr>
              <w:fldChar w:fldCharType="end"/>
            </w:r>
          </w:hyperlink>
        </w:p>
        <w:p w14:paraId="4435C7EA" w14:textId="14787261"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26" w:history="1">
            <w:r w:rsidR="001D1BD2" w:rsidRPr="00552E32">
              <w:rPr>
                <w:rStyle w:val="Hipervnculo"/>
                <w:rFonts w:cs="Arial"/>
                <w:noProof/>
              </w:rPr>
              <w:t>1.2.</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Políticas de reducción de riesgo</w:t>
            </w:r>
            <w:r w:rsidR="001D1BD2">
              <w:rPr>
                <w:noProof/>
                <w:webHidden/>
              </w:rPr>
              <w:tab/>
            </w:r>
            <w:r w:rsidR="001D1BD2">
              <w:rPr>
                <w:noProof/>
                <w:webHidden/>
              </w:rPr>
              <w:fldChar w:fldCharType="begin"/>
            </w:r>
            <w:r w:rsidR="001D1BD2">
              <w:rPr>
                <w:noProof/>
                <w:webHidden/>
              </w:rPr>
              <w:instrText xml:space="preserve"> PAGEREF _Toc169624626 \h </w:instrText>
            </w:r>
            <w:r w:rsidR="001D1BD2">
              <w:rPr>
                <w:noProof/>
                <w:webHidden/>
              </w:rPr>
            </w:r>
            <w:r w:rsidR="001D1BD2">
              <w:rPr>
                <w:noProof/>
                <w:webHidden/>
              </w:rPr>
              <w:fldChar w:fldCharType="separate"/>
            </w:r>
            <w:r w:rsidR="001D1BD2">
              <w:rPr>
                <w:noProof/>
                <w:webHidden/>
              </w:rPr>
              <w:t>29</w:t>
            </w:r>
            <w:r w:rsidR="001D1BD2">
              <w:rPr>
                <w:noProof/>
                <w:webHidden/>
              </w:rPr>
              <w:fldChar w:fldCharType="end"/>
            </w:r>
          </w:hyperlink>
        </w:p>
        <w:p w14:paraId="5E433BEA" w14:textId="47AB5307"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27" w:history="1">
            <w:r w:rsidR="001D1BD2" w:rsidRPr="00552E32">
              <w:rPr>
                <w:rStyle w:val="Hipervnculo"/>
                <w:rFonts w:cs="Arial"/>
                <w:b/>
                <w:bCs/>
                <w:noProof/>
              </w:rPr>
              <w:t>2.</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b/>
                <w:bCs/>
                <w:noProof/>
              </w:rPr>
              <w:t>Análisis de indicadores financieros</w:t>
            </w:r>
            <w:r w:rsidR="001D1BD2">
              <w:rPr>
                <w:noProof/>
                <w:webHidden/>
              </w:rPr>
              <w:tab/>
            </w:r>
            <w:r w:rsidR="001D1BD2">
              <w:rPr>
                <w:noProof/>
                <w:webHidden/>
              </w:rPr>
              <w:fldChar w:fldCharType="begin"/>
            </w:r>
            <w:r w:rsidR="001D1BD2">
              <w:rPr>
                <w:noProof/>
                <w:webHidden/>
              </w:rPr>
              <w:instrText xml:space="preserve"> PAGEREF _Toc169624627 \h </w:instrText>
            </w:r>
            <w:r w:rsidR="001D1BD2">
              <w:rPr>
                <w:noProof/>
                <w:webHidden/>
              </w:rPr>
            </w:r>
            <w:r w:rsidR="001D1BD2">
              <w:rPr>
                <w:noProof/>
                <w:webHidden/>
              </w:rPr>
              <w:fldChar w:fldCharType="separate"/>
            </w:r>
            <w:r w:rsidR="001D1BD2">
              <w:rPr>
                <w:noProof/>
                <w:webHidden/>
              </w:rPr>
              <w:t>32</w:t>
            </w:r>
            <w:r w:rsidR="001D1BD2">
              <w:rPr>
                <w:noProof/>
                <w:webHidden/>
              </w:rPr>
              <w:fldChar w:fldCharType="end"/>
            </w:r>
          </w:hyperlink>
        </w:p>
        <w:p w14:paraId="545E6D07" w14:textId="3A2B987F"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28" w:history="1">
            <w:r w:rsidR="001D1BD2" w:rsidRPr="00552E32">
              <w:rPr>
                <w:rStyle w:val="Hipervnculo"/>
                <w:rFonts w:cs="Arial"/>
                <w:noProof/>
              </w:rPr>
              <w:t>2.1.</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Índices de liquidez</w:t>
            </w:r>
            <w:r w:rsidR="001D1BD2">
              <w:rPr>
                <w:noProof/>
                <w:webHidden/>
              </w:rPr>
              <w:tab/>
            </w:r>
            <w:r w:rsidR="001D1BD2">
              <w:rPr>
                <w:noProof/>
                <w:webHidden/>
              </w:rPr>
              <w:fldChar w:fldCharType="begin"/>
            </w:r>
            <w:r w:rsidR="001D1BD2">
              <w:rPr>
                <w:noProof/>
                <w:webHidden/>
              </w:rPr>
              <w:instrText xml:space="preserve"> PAGEREF _Toc169624628 \h </w:instrText>
            </w:r>
            <w:r w:rsidR="001D1BD2">
              <w:rPr>
                <w:noProof/>
                <w:webHidden/>
              </w:rPr>
            </w:r>
            <w:r w:rsidR="001D1BD2">
              <w:rPr>
                <w:noProof/>
                <w:webHidden/>
              </w:rPr>
              <w:fldChar w:fldCharType="separate"/>
            </w:r>
            <w:r w:rsidR="001D1BD2">
              <w:rPr>
                <w:noProof/>
                <w:webHidden/>
              </w:rPr>
              <w:t>33</w:t>
            </w:r>
            <w:r w:rsidR="001D1BD2">
              <w:rPr>
                <w:noProof/>
                <w:webHidden/>
              </w:rPr>
              <w:fldChar w:fldCharType="end"/>
            </w:r>
          </w:hyperlink>
        </w:p>
        <w:p w14:paraId="45898A65" w14:textId="75858D79"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29" w:history="1">
            <w:r w:rsidR="001D1BD2" w:rsidRPr="00552E32">
              <w:rPr>
                <w:rStyle w:val="Hipervnculo"/>
                <w:rFonts w:cs="Arial"/>
                <w:noProof/>
              </w:rPr>
              <w:t>2.2.</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Índices de rentabilidad</w:t>
            </w:r>
            <w:r w:rsidR="001D1BD2">
              <w:rPr>
                <w:noProof/>
                <w:webHidden/>
              </w:rPr>
              <w:tab/>
            </w:r>
            <w:r w:rsidR="001D1BD2">
              <w:rPr>
                <w:noProof/>
                <w:webHidden/>
              </w:rPr>
              <w:fldChar w:fldCharType="begin"/>
            </w:r>
            <w:r w:rsidR="001D1BD2">
              <w:rPr>
                <w:noProof/>
                <w:webHidden/>
              </w:rPr>
              <w:instrText xml:space="preserve"> PAGEREF _Toc169624629 \h </w:instrText>
            </w:r>
            <w:r w:rsidR="001D1BD2">
              <w:rPr>
                <w:noProof/>
                <w:webHidden/>
              </w:rPr>
            </w:r>
            <w:r w:rsidR="001D1BD2">
              <w:rPr>
                <w:noProof/>
                <w:webHidden/>
              </w:rPr>
              <w:fldChar w:fldCharType="separate"/>
            </w:r>
            <w:r w:rsidR="001D1BD2">
              <w:rPr>
                <w:noProof/>
                <w:webHidden/>
              </w:rPr>
              <w:t>34</w:t>
            </w:r>
            <w:r w:rsidR="001D1BD2">
              <w:rPr>
                <w:noProof/>
                <w:webHidden/>
              </w:rPr>
              <w:fldChar w:fldCharType="end"/>
            </w:r>
          </w:hyperlink>
        </w:p>
        <w:p w14:paraId="488F3143" w14:textId="10FFC056"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30" w:history="1">
            <w:r w:rsidR="001D1BD2" w:rsidRPr="00552E32">
              <w:rPr>
                <w:rStyle w:val="Hipervnculo"/>
                <w:rFonts w:cs="Arial"/>
                <w:noProof/>
              </w:rPr>
              <w:t>2.3.</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Índices de actividad</w:t>
            </w:r>
            <w:r w:rsidR="001D1BD2">
              <w:rPr>
                <w:noProof/>
                <w:webHidden/>
              </w:rPr>
              <w:tab/>
            </w:r>
            <w:r w:rsidR="001D1BD2">
              <w:rPr>
                <w:noProof/>
                <w:webHidden/>
              </w:rPr>
              <w:fldChar w:fldCharType="begin"/>
            </w:r>
            <w:r w:rsidR="001D1BD2">
              <w:rPr>
                <w:noProof/>
                <w:webHidden/>
              </w:rPr>
              <w:instrText xml:space="preserve"> PAGEREF _Toc169624630 \h </w:instrText>
            </w:r>
            <w:r w:rsidR="001D1BD2">
              <w:rPr>
                <w:noProof/>
                <w:webHidden/>
              </w:rPr>
            </w:r>
            <w:r w:rsidR="001D1BD2">
              <w:rPr>
                <w:noProof/>
                <w:webHidden/>
              </w:rPr>
              <w:fldChar w:fldCharType="separate"/>
            </w:r>
            <w:r w:rsidR="001D1BD2">
              <w:rPr>
                <w:noProof/>
                <w:webHidden/>
              </w:rPr>
              <w:t>36</w:t>
            </w:r>
            <w:r w:rsidR="001D1BD2">
              <w:rPr>
                <w:noProof/>
                <w:webHidden/>
              </w:rPr>
              <w:fldChar w:fldCharType="end"/>
            </w:r>
          </w:hyperlink>
        </w:p>
        <w:p w14:paraId="3861B8BF" w14:textId="35E25F5A"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31" w:history="1">
            <w:r w:rsidR="001D1BD2" w:rsidRPr="00552E32">
              <w:rPr>
                <w:rStyle w:val="Hipervnculo"/>
                <w:rFonts w:cs="Arial"/>
                <w:noProof/>
              </w:rPr>
              <w:t>3.</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Endeudamiento y capitalización</w:t>
            </w:r>
            <w:r w:rsidR="001D1BD2">
              <w:rPr>
                <w:noProof/>
                <w:webHidden/>
              </w:rPr>
              <w:tab/>
            </w:r>
            <w:r w:rsidR="001D1BD2">
              <w:rPr>
                <w:noProof/>
                <w:webHidden/>
              </w:rPr>
              <w:fldChar w:fldCharType="begin"/>
            </w:r>
            <w:r w:rsidR="001D1BD2">
              <w:rPr>
                <w:noProof/>
                <w:webHidden/>
              </w:rPr>
              <w:instrText xml:space="preserve"> PAGEREF _Toc169624631 \h </w:instrText>
            </w:r>
            <w:r w:rsidR="001D1BD2">
              <w:rPr>
                <w:noProof/>
                <w:webHidden/>
              </w:rPr>
            </w:r>
            <w:r w:rsidR="001D1BD2">
              <w:rPr>
                <w:noProof/>
                <w:webHidden/>
              </w:rPr>
              <w:fldChar w:fldCharType="separate"/>
            </w:r>
            <w:r w:rsidR="001D1BD2">
              <w:rPr>
                <w:noProof/>
                <w:webHidden/>
              </w:rPr>
              <w:t>40</w:t>
            </w:r>
            <w:r w:rsidR="001D1BD2">
              <w:rPr>
                <w:noProof/>
                <w:webHidden/>
              </w:rPr>
              <w:fldChar w:fldCharType="end"/>
            </w:r>
          </w:hyperlink>
        </w:p>
        <w:p w14:paraId="17F95653" w14:textId="03084567"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32" w:history="1">
            <w:r w:rsidR="001D1BD2" w:rsidRPr="00552E32">
              <w:rPr>
                <w:rStyle w:val="Hipervnculo"/>
                <w:rFonts w:cs="Arial"/>
                <w:noProof/>
              </w:rPr>
              <w:t>3.1.</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Endeudamiento</w:t>
            </w:r>
            <w:r w:rsidR="001D1BD2">
              <w:rPr>
                <w:noProof/>
                <w:webHidden/>
              </w:rPr>
              <w:tab/>
            </w:r>
            <w:r w:rsidR="001D1BD2">
              <w:rPr>
                <w:noProof/>
                <w:webHidden/>
              </w:rPr>
              <w:fldChar w:fldCharType="begin"/>
            </w:r>
            <w:r w:rsidR="001D1BD2">
              <w:rPr>
                <w:noProof/>
                <w:webHidden/>
              </w:rPr>
              <w:instrText xml:space="preserve"> PAGEREF _Toc169624632 \h </w:instrText>
            </w:r>
            <w:r w:rsidR="001D1BD2">
              <w:rPr>
                <w:noProof/>
                <w:webHidden/>
              </w:rPr>
            </w:r>
            <w:r w:rsidR="001D1BD2">
              <w:rPr>
                <w:noProof/>
                <w:webHidden/>
              </w:rPr>
              <w:fldChar w:fldCharType="separate"/>
            </w:r>
            <w:r w:rsidR="001D1BD2">
              <w:rPr>
                <w:noProof/>
                <w:webHidden/>
              </w:rPr>
              <w:t>40</w:t>
            </w:r>
            <w:r w:rsidR="001D1BD2">
              <w:rPr>
                <w:noProof/>
                <w:webHidden/>
              </w:rPr>
              <w:fldChar w:fldCharType="end"/>
            </w:r>
          </w:hyperlink>
        </w:p>
        <w:p w14:paraId="537166F2" w14:textId="020C7178"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33" w:history="1">
            <w:r w:rsidR="001D1BD2" w:rsidRPr="00552E32">
              <w:rPr>
                <w:rStyle w:val="Hipervnculo"/>
                <w:rFonts w:cs="Arial"/>
                <w:noProof/>
              </w:rPr>
              <w:t>3.2.</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Capitalización</w:t>
            </w:r>
            <w:r w:rsidR="001D1BD2">
              <w:rPr>
                <w:noProof/>
                <w:webHidden/>
              </w:rPr>
              <w:tab/>
            </w:r>
            <w:r w:rsidR="001D1BD2">
              <w:rPr>
                <w:noProof/>
                <w:webHidden/>
              </w:rPr>
              <w:fldChar w:fldCharType="begin"/>
            </w:r>
            <w:r w:rsidR="001D1BD2">
              <w:rPr>
                <w:noProof/>
                <w:webHidden/>
              </w:rPr>
              <w:instrText xml:space="preserve"> PAGEREF _Toc169624633 \h </w:instrText>
            </w:r>
            <w:r w:rsidR="001D1BD2">
              <w:rPr>
                <w:noProof/>
                <w:webHidden/>
              </w:rPr>
            </w:r>
            <w:r w:rsidR="001D1BD2">
              <w:rPr>
                <w:noProof/>
                <w:webHidden/>
              </w:rPr>
              <w:fldChar w:fldCharType="separate"/>
            </w:r>
            <w:r w:rsidR="001D1BD2">
              <w:rPr>
                <w:noProof/>
                <w:webHidden/>
              </w:rPr>
              <w:t>41</w:t>
            </w:r>
            <w:r w:rsidR="001D1BD2">
              <w:rPr>
                <w:noProof/>
                <w:webHidden/>
              </w:rPr>
              <w:fldChar w:fldCharType="end"/>
            </w:r>
          </w:hyperlink>
        </w:p>
        <w:p w14:paraId="408745FA" w14:textId="00A76AA0"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34" w:history="1">
            <w:r w:rsidR="001D1BD2" w:rsidRPr="00552E32">
              <w:rPr>
                <w:rStyle w:val="Hipervnculo"/>
                <w:rFonts w:cs="Arial"/>
                <w:noProof/>
              </w:rPr>
              <w:t>4.</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Contingencias (al 31 de diciembre de 2023)</w:t>
            </w:r>
            <w:r w:rsidR="001D1BD2">
              <w:rPr>
                <w:noProof/>
                <w:webHidden/>
              </w:rPr>
              <w:tab/>
            </w:r>
            <w:r w:rsidR="001D1BD2">
              <w:rPr>
                <w:noProof/>
                <w:webHidden/>
              </w:rPr>
              <w:fldChar w:fldCharType="begin"/>
            </w:r>
            <w:r w:rsidR="001D1BD2">
              <w:rPr>
                <w:noProof/>
                <w:webHidden/>
              </w:rPr>
              <w:instrText xml:space="preserve"> PAGEREF _Toc169624634 \h </w:instrText>
            </w:r>
            <w:r w:rsidR="001D1BD2">
              <w:rPr>
                <w:noProof/>
                <w:webHidden/>
              </w:rPr>
            </w:r>
            <w:r w:rsidR="001D1BD2">
              <w:rPr>
                <w:noProof/>
                <w:webHidden/>
              </w:rPr>
              <w:fldChar w:fldCharType="separate"/>
            </w:r>
            <w:r w:rsidR="001D1BD2">
              <w:rPr>
                <w:noProof/>
                <w:webHidden/>
              </w:rPr>
              <w:t>43</w:t>
            </w:r>
            <w:r w:rsidR="001D1BD2">
              <w:rPr>
                <w:noProof/>
                <w:webHidden/>
              </w:rPr>
              <w:fldChar w:fldCharType="end"/>
            </w:r>
          </w:hyperlink>
        </w:p>
        <w:p w14:paraId="20946F86" w14:textId="4E7E9D85"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35" w:history="1">
            <w:r w:rsidR="001D1BD2" w:rsidRPr="00552E32">
              <w:rPr>
                <w:rStyle w:val="Hipervnculo"/>
                <w:rFonts w:cs="Arial"/>
                <w:noProof/>
              </w:rPr>
              <w:t>5.</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Compromisos (al 31 de diciembre de 2023)</w:t>
            </w:r>
            <w:r w:rsidR="001D1BD2">
              <w:rPr>
                <w:noProof/>
                <w:webHidden/>
              </w:rPr>
              <w:tab/>
            </w:r>
            <w:r w:rsidR="001D1BD2">
              <w:rPr>
                <w:noProof/>
                <w:webHidden/>
              </w:rPr>
              <w:fldChar w:fldCharType="begin"/>
            </w:r>
            <w:r w:rsidR="001D1BD2">
              <w:rPr>
                <w:noProof/>
                <w:webHidden/>
              </w:rPr>
              <w:instrText xml:space="preserve"> PAGEREF _Toc169624635 \h </w:instrText>
            </w:r>
            <w:r w:rsidR="001D1BD2">
              <w:rPr>
                <w:noProof/>
                <w:webHidden/>
              </w:rPr>
            </w:r>
            <w:r w:rsidR="001D1BD2">
              <w:rPr>
                <w:noProof/>
                <w:webHidden/>
              </w:rPr>
              <w:fldChar w:fldCharType="separate"/>
            </w:r>
            <w:r w:rsidR="001D1BD2">
              <w:rPr>
                <w:noProof/>
                <w:webHidden/>
              </w:rPr>
              <w:t>44</w:t>
            </w:r>
            <w:r w:rsidR="001D1BD2">
              <w:rPr>
                <w:noProof/>
                <w:webHidden/>
              </w:rPr>
              <w:fldChar w:fldCharType="end"/>
            </w:r>
          </w:hyperlink>
        </w:p>
        <w:p w14:paraId="79872A23" w14:textId="30E105F5" w:rsidR="001D1BD2" w:rsidRDefault="00000000">
          <w:pPr>
            <w:pStyle w:val="TDC1"/>
            <w:rPr>
              <w:rFonts w:asciiTheme="minorHAnsi" w:eastAsiaTheme="minorEastAsia" w:hAnsiTheme="minorHAnsi"/>
              <w:noProof/>
              <w:kern w:val="2"/>
              <w:sz w:val="24"/>
              <w:szCs w:val="24"/>
              <w:lang w:val="es-419" w:eastAsia="es-419"/>
              <w14:ligatures w14:val="standardContextual"/>
            </w:rPr>
          </w:pPr>
          <w:hyperlink w:anchor="_Toc169624636" w:history="1">
            <w:r w:rsidR="001D1BD2" w:rsidRPr="00552E32">
              <w:rPr>
                <w:rStyle w:val="Hipervnculo"/>
                <w:rFonts w:cs="Arial"/>
                <w:noProof/>
              </w:rPr>
              <w:t>Capítulo 3.</w:t>
            </w:r>
            <w:r w:rsidR="001D1BD2">
              <w:rPr>
                <w:noProof/>
                <w:webHidden/>
              </w:rPr>
              <w:tab/>
            </w:r>
            <w:r w:rsidR="001D1BD2">
              <w:rPr>
                <w:noProof/>
                <w:webHidden/>
              </w:rPr>
              <w:fldChar w:fldCharType="begin"/>
            </w:r>
            <w:r w:rsidR="001D1BD2">
              <w:rPr>
                <w:noProof/>
                <w:webHidden/>
              </w:rPr>
              <w:instrText xml:space="preserve"> PAGEREF _Toc169624636 \h </w:instrText>
            </w:r>
            <w:r w:rsidR="001D1BD2">
              <w:rPr>
                <w:noProof/>
                <w:webHidden/>
              </w:rPr>
            </w:r>
            <w:r w:rsidR="001D1BD2">
              <w:rPr>
                <w:noProof/>
                <w:webHidden/>
              </w:rPr>
              <w:fldChar w:fldCharType="separate"/>
            </w:r>
            <w:r w:rsidR="001D1BD2">
              <w:rPr>
                <w:noProof/>
                <w:webHidden/>
              </w:rPr>
              <w:t>45</w:t>
            </w:r>
            <w:r w:rsidR="001D1BD2">
              <w:rPr>
                <w:noProof/>
                <w:webHidden/>
              </w:rPr>
              <w:fldChar w:fldCharType="end"/>
            </w:r>
          </w:hyperlink>
        </w:p>
        <w:p w14:paraId="51688556" w14:textId="0627AA23" w:rsidR="001D1BD2" w:rsidRDefault="00000000">
          <w:pPr>
            <w:pStyle w:val="TDC1"/>
            <w:rPr>
              <w:rFonts w:asciiTheme="minorHAnsi" w:eastAsiaTheme="minorEastAsia" w:hAnsiTheme="minorHAnsi"/>
              <w:noProof/>
              <w:kern w:val="2"/>
              <w:sz w:val="24"/>
              <w:szCs w:val="24"/>
              <w:lang w:val="es-419" w:eastAsia="es-419"/>
              <w14:ligatures w14:val="standardContextual"/>
            </w:rPr>
          </w:pPr>
          <w:hyperlink w:anchor="_Toc169624637" w:history="1">
            <w:r w:rsidR="001D1BD2" w:rsidRPr="00552E32">
              <w:rPr>
                <w:rStyle w:val="Hipervnculo"/>
                <w:rFonts w:cs="Arial"/>
                <w:noProof/>
              </w:rPr>
              <w:t>Información sobre la empresa emisora</w:t>
            </w:r>
            <w:r w:rsidR="001D1BD2">
              <w:rPr>
                <w:noProof/>
                <w:webHidden/>
              </w:rPr>
              <w:tab/>
            </w:r>
            <w:r w:rsidR="001D1BD2">
              <w:rPr>
                <w:noProof/>
                <w:webHidden/>
              </w:rPr>
              <w:fldChar w:fldCharType="begin"/>
            </w:r>
            <w:r w:rsidR="001D1BD2">
              <w:rPr>
                <w:noProof/>
                <w:webHidden/>
              </w:rPr>
              <w:instrText xml:space="preserve"> PAGEREF _Toc169624637 \h </w:instrText>
            </w:r>
            <w:r w:rsidR="001D1BD2">
              <w:rPr>
                <w:noProof/>
                <w:webHidden/>
              </w:rPr>
            </w:r>
            <w:r w:rsidR="001D1BD2">
              <w:rPr>
                <w:noProof/>
                <w:webHidden/>
              </w:rPr>
              <w:fldChar w:fldCharType="separate"/>
            </w:r>
            <w:r w:rsidR="001D1BD2">
              <w:rPr>
                <w:noProof/>
                <w:webHidden/>
              </w:rPr>
              <w:t>45</w:t>
            </w:r>
            <w:r w:rsidR="001D1BD2">
              <w:rPr>
                <w:noProof/>
                <w:webHidden/>
              </w:rPr>
              <w:fldChar w:fldCharType="end"/>
            </w:r>
          </w:hyperlink>
        </w:p>
        <w:p w14:paraId="31D02190" w14:textId="7AF7C4A7"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38" w:history="1">
            <w:r w:rsidR="001D1BD2" w:rsidRPr="00552E32">
              <w:rPr>
                <w:rStyle w:val="Hipervnculo"/>
                <w:rFonts w:cs="Arial"/>
                <w:noProof/>
              </w:rPr>
              <w:t>1.</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Historia y desarrollo de la empresa</w:t>
            </w:r>
            <w:r w:rsidR="001D1BD2">
              <w:rPr>
                <w:noProof/>
                <w:webHidden/>
              </w:rPr>
              <w:tab/>
            </w:r>
            <w:r w:rsidR="001D1BD2">
              <w:rPr>
                <w:noProof/>
                <w:webHidden/>
              </w:rPr>
              <w:fldChar w:fldCharType="begin"/>
            </w:r>
            <w:r w:rsidR="001D1BD2">
              <w:rPr>
                <w:noProof/>
                <w:webHidden/>
              </w:rPr>
              <w:instrText xml:space="preserve"> PAGEREF _Toc169624638 \h </w:instrText>
            </w:r>
            <w:r w:rsidR="001D1BD2">
              <w:rPr>
                <w:noProof/>
                <w:webHidden/>
              </w:rPr>
            </w:r>
            <w:r w:rsidR="001D1BD2">
              <w:rPr>
                <w:noProof/>
                <w:webHidden/>
              </w:rPr>
              <w:fldChar w:fldCharType="separate"/>
            </w:r>
            <w:r w:rsidR="001D1BD2">
              <w:rPr>
                <w:noProof/>
                <w:webHidden/>
              </w:rPr>
              <w:t>46</w:t>
            </w:r>
            <w:r w:rsidR="001D1BD2">
              <w:rPr>
                <w:noProof/>
                <w:webHidden/>
              </w:rPr>
              <w:fldChar w:fldCharType="end"/>
            </w:r>
          </w:hyperlink>
        </w:p>
        <w:p w14:paraId="18A46BAE" w14:textId="50C6E57A"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39" w:history="1">
            <w:r w:rsidR="001D1BD2" w:rsidRPr="00552E32">
              <w:rPr>
                <w:rStyle w:val="Hipervnculo"/>
                <w:rFonts w:cs="Arial"/>
                <w:noProof/>
              </w:rPr>
              <w:t>1.1.</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Constitución</w:t>
            </w:r>
            <w:r w:rsidR="001D1BD2">
              <w:rPr>
                <w:noProof/>
                <w:webHidden/>
              </w:rPr>
              <w:tab/>
            </w:r>
            <w:r w:rsidR="001D1BD2">
              <w:rPr>
                <w:noProof/>
                <w:webHidden/>
              </w:rPr>
              <w:fldChar w:fldCharType="begin"/>
            </w:r>
            <w:r w:rsidR="001D1BD2">
              <w:rPr>
                <w:noProof/>
                <w:webHidden/>
              </w:rPr>
              <w:instrText xml:space="preserve"> PAGEREF _Toc169624639 \h </w:instrText>
            </w:r>
            <w:r w:rsidR="001D1BD2">
              <w:rPr>
                <w:noProof/>
                <w:webHidden/>
              </w:rPr>
            </w:r>
            <w:r w:rsidR="001D1BD2">
              <w:rPr>
                <w:noProof/>
                <w:webHidden/>
              </w:rPr>
              <w:fldChar w:fldCharType="separate"/>
            </w:r>
            <w:r w:rsidR="001D1BD2">
              <w:rPr>
                <w:noProof/>
                <w:webHidden/>
              </w:rPr>
              <w:t>46</w:t>
            </w:r>
            <w:r w:rsidR="001D1BD2">
              <w:rPr>
                <w:noProof/>
                <w:webHidden/>
              </w:rPr>
              <w:fldChar w:fldCharType="end"/>
            </w:r>
          </w:hyperlink>
        </w:p>
        <w:p w14:paraId="76C3A7EE" w14:textId="5B70369B"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40" w:history="1">
            <w:r w:rsidR="001D1BD2" w:rsidRPr="00552E32">
              <w:rPr>
                <w:rStyle w:val="Hipervnculo"/>
                <w:rFonts w:cs="Arial"/>
                <w:noProof/>
              </w:rPr>
              <w:t>1.2.</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Breve reseña histórica</w:t>
            </w:r>
            <w:r w:rsidR="001D1BD2">
              <w:rPr>
                <w:noProof/>
                <w:webHidden/>
              </w:rPr>
              <w:tab/>
            </w:r>
            <w:r w:rsidR="001D1BD2">
              <w:rPr>
                <w:noProof/>
                <w:webHidden/>
              </w:rPr>
              <w:fldChar w:fldCharType="begin"/>
            </w:r>
            <w:r w:rsidR="001D1BD2">
              <w:rPr>
                <w:noProof/>
                <w:webHidden/>
              </w:rPr>
              <w:instrText xml:space="preserve"> PAGEREF _Toc169624640 \h </w:instrText>
            </w:r>
            <w:r w:rsidR="001D1BD2">
              <w:rPr>
                <w:noProof/>
                <w:webHidden/>
              </w:rPr>
            </w:r>
            <w:r w:rsidR="001D1BD2">
              <w:rPr>
                <w:noProof/>
                <w:webHidden/>
              </w:rPr>
              <w:fldChar w:fldCharType="separate"/>
            </w:r>
            <w:r w:rsidR="001D1BD2">
              <w:rPr>
                <w:noProof/>
                <w:webHidden/>
              </w:rPr>
              <w:t>46</w:t>
            </w:r>
            <w:r w:rsidR="001D1BD2">
              <w:rPr>
                <w:noProof/>
                <w:webHidden/>
              </w:rPr>
              <w:fldChar w:fldCharType="end"/>
            </w:r>
          </w:hyperlink>
        </w:p>
        <w:p w14:paraId="4B0E5EBB" w14:textId="5E4A4D65"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41" w:history="1">
            <w:r w:rsidR="001D1BD2" w:rsidRPr="00552E32">
              <w:rPr>
                <w:rStyle w:val="Hipervnculo"/>
                <w:rFonts w:cs="Arial"/>
                <w:noProof/>
              </w:rPr>
              <w:t>1.3.</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Actividad</w:t>
            </w:r>
            <w:r w:rsidR="001D1BD2">
              <w:rPr>
                <w:noProof/>
                <w:webHidden/>
              </w:rPr>
              <w:tab/>
            </w:r>
            <w:r w:rsidR="001D1BD2">
              <w:rPr>
                <w:noProof/>
                <w:webHidden/>
              </w:rPr>
              <w:fldChar w:fldCharType="begin"/>
            </w:r>
            <w:r w:rsidR="001D1BD2">
              <w:rPr>
                <w:noProof/>
                <w:webHidden/>
              </w:rPr>
              <w:instrText xml:space="preserve"> PAGEREF _Toc169624641 \h </w:instrText>
            </w:r>
            <w:r w:rsidR="001D1BD2">
              <w:rPr>
                <w:noProof/>
                <w:webHidden/>
              </w:rPr>
            </w:r>
            <w:r w:rsidR="001D1BD2">
              <w:rPr>
                <w:noProof/>
                <w:webHidden/>
              </w:rPr>
              <w:fldChar w:fldCharType="separate"/>
            </w:r>
            <w:r w:rsidR="001D1BD2">
              <w:rPr>
                <w:noProof/>
                <w:webHidden/>
              </w:rPr>
              <w:t>49</w:t>
            </w:r>
            <w:r w:rsidR="001D1BD2">
              <w:rPr>
                <w:noProof/>
                <w:webHidden/>
              </w:rPr>
              <w:fldChar w:fldCharType="end"/>
            </w:r>
          </w:hyperlink>
        </w:p>
        <w:p w14:paraId="0154FCC9" w14:textId="43E6347D"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42" w:history="1">
            <w:r w:rsidR="001D1BD2" w:rsidRPr="00552E32">
              <w:rPr>
                <w:rStyle w:val="Hipervnculo"/>
                <w:rFonts w:cs="Arial"/>
                <w:noProof/>
              </w:rPr>
              <w:t>1.4.</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Principales competidores</w:t>
            </w:r>
            <w:r w:rsidR="001D1BD2">
              <w:rPr>
                <w:noProof/>
                <w:webHidden/>
              </w:rPr>
              <w:tab/>
            </w:r>
            <w:r w:rsidR="001D1BD2">
              <w:rPr>
                <w:noProof/>
                <w:webHidden/>
              </w:rPr>
              <w:fldChar w:fldCharType="begin"/>
            </w:r>
            <w:r w:rsidR="001D1BD2">
              <w:rPr>
                <w:noProof/>
                <w:webHidden/>
              </w:rPr>
              <w:instrText xml:space="preserve"> PAGEREF _Toc169624642 \h </w:instrText>
            </w:r>
            <w:r w:rsidR="001D1BD2">
              <w:rPr>
                <w:noProof/>
                <w:webHidden/>
              </w:rPr>
            </w:r>
            <w:r w:rsidR="001D1BD2">
              <w:rPr>
                <w:noProof/>
                <w:webHidden/>
              </w:rPr>
              <w:fldChar w:fldCharType="separate"/>
            </w:r>
            <w:r w:rsidR="001D1BD2">
              <w:rPr>
                <w:noProof/>
                <w:webHidden/>
              </w:rPr>
              <w:t>50</w:t>
            </w:r>
            <w:r w:rsidR="001D1BD2">
              <w:rPr>
                <w:noProof/>
                <w:webHidden/>
              </w:rPr>
              <w:fldChar w:fldCharType="end"/>
            </w:r>
          </w:hyperlink>
        </w:p>
        <w:p w14:paraId="34725E1F" w14:textId="6EAD4623"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43" w:history="1">
            <w:r w:rsidR="001D1BD2" w:rsidRPr="00552E32">
              <w:rPr>
                <w:rStyle w:val="Hipervnculo"/>
                <w:rFonts w:cs="Arial"/>
                <w:noProof/>
              </w:rPr>
              <w:t>2.</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Visión general del negocio</w:t>
            </w:r>
            <w:r w:rsidR="001D1BD2">
              <w:rPr>
                <w:noProof/>
                <w:webHidden/>
              </w:rPr>
              <w:tab/>
            </w:r>
            <w:r w:rsidR="001D1BD2">
              <w:rPr>
                <w:noProof/>
                <w:webHidden/>
              </w:rPr>
              <w:fldChar w:fldCharType="begin"/>
            </w:r>
            <w:r w:rsidR="001D1BD2">
              <w:rPr>
                <w:noProof/>
                <w:webHidden/>
              </w:rPr>
              <w:instrText xml:space="preserve"> PAGEREF _Toc169624643 \h </w:instrText>
            </w:r>
            <w:r w:rsidR="001D1BD2">
              <w:rPr>
                <w:noProof/>
                <w:webHidden/>
              </w:rPr>
            </w:r>
            <w:r w:rsidR="001D1BD2">
              <w:rPr>
                <w:noProof/>
                <w:webHidden/>
              </w:rPr>
              <w:fldChar w:fldCharType="separate"/>
            </w:r>
            <w:r w:rsidR="001D1BD2">
              <w:rPr>
                <w:noProof/>
                <w:webHidden/>
              </w:rPr>
              <w:t>50</w:t>
            </w:r>
            <w:r w:rsidR="001D1BD2">
              <w:rPr>
                <w:noProof/>
                <w:webHidden/>
              </w:rPr>
              <w:fldChar w:fldCharType="end"/>
            </w:r>
          </w:hyperlink>
        </w:p>
        <w:p w14:paraId="2291A075" w14:textId="0329501E"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44" w:history="1">
            <w:r w:rsidR="001D1BD2" w:rsidRPr="00552E32">
              <w:rPr>
                <w:rStyle w:val="Hipervnculo"/>
                <w:rFonts w:cs="Arial"/>
                <w:noProof/>
              </w:rPr>
              <w:t>2.1.</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Subsidiarias de FIFCO</w:t>
            </w:r>
            <w:r w:rsidR="001D1BD2">
              <w:rPr>
                <w:noProof/>
                <w:webHidden/>
              </w:rPr>
              <w:tab/>
            </w:r>
            <w:r w:rsidR="001D1BD2">
              <w:rPr>
                <w:noProof/>
                <w:webHidden/>
              </w:rPr>
              <w:fldChar w:fldCharType="begin"/>
            </w:r>
            <w:r w:rsidR="001D1BD2">
              <w:rPr>
                <w:noProof/>
                <w:webHidden/>
              </w:rPr>
              <w:instrText xml:space="preserve"> PAGEREF _Toc169624644 \h </w:instrText>
            </w:r>
            <w:r w:rsidR="001D1BD2">
              <w:rPr>
                <w:noProof/>
                <w:webHidden/>
              </w:rPr>
            </w:r>
            <w:r w:rsidR="001D1BD2">
              <w:rPr>
                <w:noProof/>
                <w:webHidden/>
              </w:rPr>
              <w:fldChar w:fldCharType="separate"/>
            </w:r>
            <w:r w:rsidR="001D1BD2">
              <w:rPr>
                <w:noProof/>
                <w:webHidden/>
              </w:rPr>
              <w:t>50</w:t>
            </w:r>
            <w:r w:rsidR="001D1BD2">
              <w:rPr>
                <w:noProof/>
                <w:webHidden/>
              </w:rPr>
              <w:fldChar w:fldCharType="end"/>
            </w:r>
          </w:hyperlink>
        </w:p>
        <w:p w14:paraId="47C57BA3" w14:textId="5334C428"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45" w:history="1">
            <w:r w:rsidR="001D1BD2" w:rsidRPr="00552E32">
              <w:rPr>
                <w:rStyle w:val="Hipervnculo"/>
                <w:rFonts w:cs="Arial"/>
                <w:noProof/>
              </w:rPr>
              <w:t>2.2.</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Estructura organizativa</w:t>
            </w:r>
            <w:r w:rsidR="001D1BD2">
              <w:rPr>
                <w:noProof/>
                <w:webHidden/>
              </w:rPr>
              <w:tab/>
            </w:r>
            <w:r w:rsidR="001D1BD2">
              <w:rPr>
                <w:noProof/>
                <w:webHidden/>
              </w:rPr>
              <w:fldChar w:fldCharType="begin"/>
            </w:r>
            <w:r w:rsidR="001D1BD2">
              <w:rPr>
                <w:noProof/>
                <w:webHidden/>
              </w:rPr>
              <w:instrText xml:space="preserve"> PAGEREF _Toc169624645 \h </w:instrText>
            </w:r>
            <w:r w:rsidR="001D1BD2">
              <w:rPr>
                <w:noProof/>
                <w:webHidden/>
              </w:rPr>
            </w:r>
            <w:r w:rsidR="001D1BD2">
              <w:rPr>
                <w:noProof/>
                <w:webHidden/>
              </w:rPr>
              <w:fldChar w:fldCharType="separate"/>
            </w:r>
            <w:r w:rsidR="001D1BD2">
              <w:rPr>
                <w:noProof/>
                <w:webHidden/>
              </w:rPr>
              <w:t>51</w:t>
            </w:r>
            <w:r w:rsidR="001D1BD2">
              <w:rPr>
                <w:noProof/>
                <w:webHidden/>
              </w:rPr>
              <w:fldChar w:fldCharType="end"/>
            </w:r>
          </w:hyperlink>
        </w:p>
        <w:p w14:paraId="7E24F736" w14:textId="6311B331"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46" w:history="1">
            <w:r w:rsidR="001D1BD2" w:rsidRPr="00552E32">
              <w:rPr>
                <w:rStyle w:val="Hipervnculo"/>
                <w:rFonts w:cs="Arial"/>
                <w:noProof/>
              </w:rPr>
              <w:t>2.3.</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Propiedades, planta y equipo</w:t>
            </w:r>
            <w:r w:rsidR="001D1BD2">
              <w:rPr>
                <w:noProof/>
                <w:webHidden/>
              </w:rPr>
              <w:tab/>
            </w:r>
            <w:r w:rsidR="001D1BD2">
              <w:rPr>
                <w:noProof/>
                <w:webHidden/>
              </w:rPr>
              <w:fldChar w:fldCharType="begin"/>
            </w:r>
            <w:r w:rsidR="001D1BD2">
              <w:rPr>
                <w:noProof/>
                <w:webHidden/>
              </w:rPr>
              <w:instrText xml:space="preserve"> PAGEREF _Toc169624646 \h </w:instrText>
            </w:r>
            <w:r w:rsidR="001D1BD2">
              <w:rPr>
                <w:noProof/>
                <w:webHidden/>
              </w:rPr>
            </w:r>
            <w:r w:rsidR="001D1BD2">
              <w:rPr>
                <w:noProof/>
                <w:webHidden/>
              </w:rPr>
              <w:fldChar w:fldCharType="separate"/>
            </w:r>
            <w:r w:rsidR="001D1BD2">
              <w:rPr>
                <w:noProof/>
                <w:webHidden/>
              </w:rPr>
              <w:t>52</w:t>
            </w:r>
            <w:r w:rsidR="001D1BD2">
              <w:rPr>
                <w:noProof/>
                <w:webHidden/>
              </w:rPr>
              <w:fldChar w:fldCharType="end"/>
            </w:r>
          </w:hyperlink>
        </w:p>
        <w:p w14:paraId="6B2CD6CA" w14:textId="29EBEC33"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47" w:history="1">
            <w:r w:rsidR="001D1BD2" w:rsidRPr="00552E32">
              <w:rPr>
                <w:rStyle w:val="Hipervnculo"/>
                <w:rFonts w:cs="Arial"/>
                <w:noProof/>
              </w:rPr>
              <w:t>2.4.</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Empleo y riqueza para los países en los que opera</w:t>
            </w:r>
            <w:r w:rsidR="001D1BD2">
              <w:rPr>
                <w:noProof/>
                <w:webHidden/>
              </w:rPr>
              <w:tab/>
            </w:r>
            <w:r w:rsidR="001D1BD2">
              <w:rPr>
                <w:noProof/>
                <w:webHidden/>
              </w:rPr>
              <w:fldChar w:fldCharType="begin"/>
            </w:r>
            <w:r w:rsidR="001D1BD2">
              <w:rPr>
                <w:noProof/>
                <w:webHidden/>
              </w:rPr>
              <w:instrText xml:space="preserve"> PAGEREF _Toc169624647 \h </w:instrText>
            </w:r>
            <w:r w:rsidR="001D1BD2">
              <w:rPr>
                <w:noProof/>
                <w:webHidden/>
              </w:rPr>
            </w:r>
            <w:r w:rsidR="001D1BD2">
              <w:rPr>
                <w:noProof/>
                <w:webHidden/>
              </w:rPr>
              <w:fldChar w:fldCharType="separate"/>
            </w:r>
            <w:r w:rsidR="001D1BD2">
              <w:rPr>
                <w:noProof/>
                <w:webHidden/>
              </w:rPr>
              <w:t>55</w:t>
            </w:r>
            <w:r w:rsidR="001D1BD2">
              <w:rPr>
                <w:noProof/>
                <w:webHidden/>
              </w:rPr>
              <w:fldChar w:fldCharType="end"/>
            </w:r>
          </w:hyperlink>
        </w:p>
        <w:p w14:paraId="3238ED1C" w14:textId="2E686E5A" w:rsidR="001D1BD2" w:rsidRDefault="00000000">
          <w:pPr>
            <w:pStyle w:val="TDC1"/>
            <w:rPr>
              <w:rFonts w:asciiTheme="minorHAnsi" w:eastAsiaTheme="minorEastAsia" w:hAnsiTheme="minorHAnsi"/>
              <w:noProof/>
              <w:kern w:val="2"/>
              <w:sz w:val="24"/>
              <w:szCs w:val="24"/>
              <w:lang w:val="es-419" w:eastAsia="es-419"/>
              <w14:ligatures w14:val="standardContextual"/>
            </w:rPr>
          </w:pPr>
          <w:hyperlink w:anchor="_Toc169624648" w:history="1">
            <w:r w:rsidR="001D1BD2" w:rsidRPr="00552E32">
              <w:rPr>
                <w:rStyle w:val="Hipervnculo"/>
                <w:rFonts w:cs="Arial"/>
                <w:noProof/>
              </w:rPr>
              <w:t>Capítulo 4.</w:t>
            </w:r>
            <w:r w:rsidR="001D1BD2">
              <w:rPr>
                <w:noProof/>
                <w:webHidden/>
              </w:rPr>
              <w:tab/>
            </w:r>
            <w:r w:rsidR="001D1BD2">
              <w:rPr>
                <w:noProof/>
                <w:webHidden/>
              </w:rPr>
              <w:fldChar w:fldCharType="begin"/>
            </w:r>
            <w:r w:rsidR="001D1BD2">
              <w:rPr>
                <w:noProof/>
                <w:webHidden/>
              </w:rPr>
              <w:instrText xml:space="preserve"> PAGEREF _Toc169624648 \h </w:instrText>
            </w:r>
            <w:r w:rsidR="001D1BD2">
              <w:rPr>
                <w:noProof/>
                <w:webHidden/>
              </w:rPr>
            </w:r>
            <w:r w:rsidR="001D1BD2">
              <w:rPr>
                <w:noProof/>
                <w:webHidden/>
              </w:rPr>
              <w:fldChar w:fldCharType="separate"/>
            </w:r>
            <w:r w:rsidR="001D1BD2">
              <w:rPr>
                <w:noProof/>
                <w:webHidden/>
              </w:rPr>
              <w:t>57</w:t>
            </w:r>
            <w:r w:rsidR="001D1BD2">
              <w:rPr>
                <w:noProof/>
                <w:webHidden/>
              </w:rPr>
              <w:fldChar w:fldCharType="end"/>
            </w:r>
          </w:hyperlink>
        </w:p>
        <w:p w14:paraId="4CED0A09" w14:textId="53A612E5" w:rsidR="001D1BD2" w:rsidRDefault="00000000">
          <w:pPr>
            <w:pStyle w:val="TDC1"/>
            <w:rPr>
              <w:rFonts w:asciiTheme="minorHAnsi" w:eastAsiaTheme="minorEastAsia" w:hAnsiTheme="minorHAnsi"/>
              <w:noProof/>
              <w:kern w:val="2"/>
              <w:sz w:val="24"/>
              <w:szCs w:val="24"/>
              <w:lang w:val="es-419" w:eastAsia="es-419"/>
              <w14:ligatures w14:val="standardContextual"/>
            </w:rPr>
          </w:pPr>
          <w:hyperlink w:anchor="_Toc169624649" w:history="1">
            <w:r w:rsidR="001D1BD2" w:rsidRPr="00552E32">
              <w:rPr>
                <w:rStyle w:val="Hipervnculo"/>
                <w:rFonts w:cs="Arial"/>
                <w:noProof/>
              </w:rPr>
              <w:t>Resultados de operación y financieros e información prospectiva</w:t>
            </w:r>
            <w:r w:rsidR="001D1BD2">
              <w:rPr>
                <w:noProof/>
                <w:webHidden/>
              </w:rPr>
              <w:tab/>
            </w:r>
            <w:r w:rsidR="001D1BD2">
              <w:rPr>
                <w:noProof/>
                <w:webHidden/>
              </w:rPr>
              <w:fldChar w:fldCharType="begin"/>
            </w:r>
            <w:r w:rsidR="001D1BD2">
              <w:rPr>
                <w:noProof/>
                <w:webHidden/>
              </w:rPr>
              <w:instrText xml:space="preserve"> PAGEREF _Toc169624649 \h </w:instrText>
            </w:r>
            <w:r w:rsidR="001D1BD2">
              <w:rPr>
                <w:noProof/>
                <w:webHidden/>
              </w:rPr>
            </w:r>
            <w:r w:rsidR="001D1BD2">
              <w:rPr>
                <w:noProof/>
                <w:webHidden/>
              </w:rPr>
              <w:fldChar w:fldCharType="separate"/>
            </w:r>
            <w:r w:rsidR="001D1BD2">
              <w:rPr>
                <w:noProof/>
                <w:webHidden/>
              </w:rPr>
              <w:t>57</w:t>
            </w:r>
            <w:r w:rsidR="001D1BD2">
              <w:rPr>
                <w:noProof/>
                <w:webHidden/>
              </w:rPr>
              <w:fldChar w:fldCharType="end"/>
            </w:r>
          </w:hyperlink>
        </w:p>
        <w:p w14:paraId="3CA6E452" w14:textId="34E923C8"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50" w:history="1">
            <w:r w:rsidR="001D1BD2" w:rsidRPr="00552E32">
              <w:rPr>
                <w:rStyle w:val="Hipervnculo"/>
                <w:rFonts w:cs="Arial"/>
                <w:noProof/>
              </w:rPr>
              <w:t>1.</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Resultados de Operación - Dimensión Económica</w:t>
            </w:r>
            <w:r w:rsidR="001D1BD2">
              <w:rPr>
                <w:noProof/>
                <w:webHidden/>
              </w:rPr>
              <w:tab/>
            </w:r>
            <w:r w:rsidR="001D1BD2">
              <w:rPr>
                <w:noProof/>
                <w:webHidden/>
              </w:rPr>
              <w:fldChar w:fldCharType="begin"/>
            </w:r>
            <w:r w:rsidR="001D1BD2">
              <w:rPr>
                <w:noProof/>
                <w:webHidden/>
              </w:rPr>
              <w:instrText xml:space="preserve"> PAGEREF _Toc169624650 \h </w:instrText>
            </w:r>
            <w:r w:rsidR="001D1BD2">
              <w:rPr>
                <w:noProof/>
                <w:webHidden/>
              </w:rPr>
            </w:r>
            <w:r w:rsidR="001D1BD2">
              <w:rPr>
                <w:noProof/>
                <w:webHidden/>
              </w:rPr>
              <w:fldChar w:fldCharType="separate"/>
            </w:r>
            <w:r w:rsidR="001D1BD2">
              <w:rPr>
                <w:noProof/>
                <w:webHidden/>
              </w:rPr>
              <w:t>58</w:t>
            </w:r>
            <w:r w:rsidR="001D1BD2">
              <w:rPr>
                <w:noProof/>
                <w:webHidden/>
              </w:rPr>
              <w:fldChar w:fldCharType="end"/>
            </w:r>
          </w:hyperlink>
        </w:p>
        <w:p w14:paraId="6991EA97" w14:textId="36E2E1BF"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51" w:history="1">
            <w:r w:rsidR="001D1BD2" w:rsidRPr="00552E32">
              <w:rPr>
                <w:rStyle w:val="Hipervnculo"/>
                <w:rFonts w:cs="Arial"/>
                <w:noProof/>
              </w:rPr>
              <w:t>1.1.</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Florida Bebidas y Alimentos</w:t>
            </w:r>
            <w:r w:rsidR="001D1BD2">
              <w:rPr>
                <w:noProof/>
                <w:webHidden/>
              </w:rPr>
              <w:tab/>
            </w:r>
            <w:r w:rsidR="001D1BD2">
              <w:rPr>
                <w:noProof/>
                <w:webHidden/>
              </w:rPr>
              <w:fldChar w:fldCharType="begin"/>
            </w:r>
            <w:r w:rsidR="001D1BD2">
              <w:rPr>
                <w:noProof/>
                <w:webHidden/>
              </w:rPr>
              <w:instrText xml:space="preserve"> PAGEREF _Toc169624651 \h </w:instrText>
            </w:r>
            <w:r w:rsidR="001D1BD2">
              <w:rPr>
                <w:noProof/>
                <w:webHidden/>
              </w:rPr>
            </w:r>
            <w:r w:rsidR="001D1BD2">
              <w:rPr>
                <w:noProof/>
                <w:webHidden/>
              </w:rPr>
              <w:fldChar w:fldCharType="separate"/>
            </w:r>
            <w:r w:rsidR="001D1BD2">
              <w:rPr>
                <w:noProof/>
                <w:webHidden/>
              </w:rPr>
              <w:t>59</w:t>
            </w:r>
            <w:r w:rsidR="001D1BD2">
              <w:rPr>
                <w:noProof/>
                <w:webHidden/>
              </w:rPr>
              <w:fldChar w:fldCharType="end"/>
            </w:r>
          </w:hyperlink>
        </w:p>
        <w:p w14:paraId="1DE183AA" w14:textId="4B629692"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52" w:history="1">
            <w:r w:rsidR="001D1BD2" w:rsidRPr="00552E32">
              <w:rPr>
                <w:rStyle w:val="Hipervnculo"/>
                <w:rFonts w:cs="Arial"/>
                <w:noProof/>
              </w:rPr>
              <w:t>1.2.</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FIFCO USA</w:t>
            </w:r>
            <w:r w:rsidR="001D1BD2">
              <w:rPr>
                <w:noProof/>
                <w:webHidden/>
              </w:rPr>
              <w:tab/>
            </w:r>
            <w:r w:rsidR="001D1BD2">
              <w:rPr>
                <w:noProof/>
                <w:webHidden/>
              </w:rPr>
              <w:fldChar w:fldCharType="begin"/>
            </w:r>
            <w:r w:rsidR="001D1BD2">
              <w:rPr>
                <w:noProof/>
                <w:webHidden/>
              </w:rPr>
              <w:instrText xml:space="preserve"> PAGEREF _Toc169624652 \h </w:instrText>
            </w:r>
            <w:r w:rsidR="001D1BD2">
              <w:rPr>
                <w:noProof/>
                <w:webHidden/>
              </w:rPr>
            </w:r>
            <w:r w:rsidR="001D1BD2">
              <w:rPr>
                <w:noProof/>
                <w:webHidden/>
              </w:rPr>
              <w:fldChar w:fldCharType="separate"/>
            </w:r>
            <w:r w:rsidR="001D1BD2">
              <w:rPr>
                <w:noProof/>
                <w:webHidden/>
              </w:rPr>
              <w:t>64</w:t>
            </w:r>
            <w:r w:rsidR="001D1BD2">
              <w:rPr>
                <w:noProof/>
                <w:webHidden/>
              </w:rPr>
              <w:fldChar w:fldCharType="end"/>
            </w:r>
          </w:hyperlink>
        </w:p>
        <w:p w14:paraId="6F84DE4E" w14:textId="7BC28A59"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53" w:history="1">
            <w:r w:rsidR="001D1BD2" w:rsidRPr="00552E32">
              <w:rPr>
                <w:rStyle w:val="Hipervnculo"/>
                <w:rFonts w:cs="Arial"/>
                <w:noProof/>
              </w:rPr>
              <w:t>1.3.</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Alimentos</w:t>
            </w:r>
            <w:r w:rsidR="001D1BD2">
              <w:rPr>
                <w:noProof/>
                <w:webHidden/>
              </w:rPr>
              <w:tab/>
            </w:r>
            <w:r w:rsidR="001D1BD2">
              <w:rPr>
                <w:noProof/>
                <w:webHidden/>
              </w:rPr>
              <w:fldChar w:fldCharType="begin"/>
            </w:r>
            <w:r w:rsidR="001D1BD2">
              <w:rPr>
                <w:noProof/>
                <w:webHidden/>
              </w:rPr>
              <w:instrText xml:space="preserve"> PAGEREF _Toc169624653 \h </w:instrText>
            </w:r>
            <w:r w:rsidR="001D1BD2">
              <w:rPr>
                <w:noProof/>
                <w:webHidden/>
              </w:rPr>
            </w:r>
            <w:r w:rsidR="001D1BD2">
              <w:rPr>
                <w:noProof/>
                <w:webHidden/>
              </w:rPr>
              <w:fldChar w:fldCharType="separate"/>
            </w:r>
            <w:r w:rsidR="001D1BD2">
              <w:rPr>
                <w:noProof/>
                <w:webHidden/>
              </w:rPr>
              <w:t>65</w:t>
            </w:r>
            <w:r w:rsidR="001D1BD2">
              <w:rPr>
                <w:noProof/>
                <w:webHidden/>
              </w:rPr>
              <w:fldChar w:fldCharType="end"/>
            </w:r>
          </w:hyperlink>
        </w:p>
        <w:p w14:paraId="57515676" w14:textId="66C2DFB3"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54" w:history="1">
            <w:r w:rsidR="001D1BD2" w:rsidRPr="00552E32">
              <w:rPr>
                <w:rStyle w:val="Hipervnculo"/>
                <w:rFonts w:cs="Arial"/>
                <w:noProof/>
              </w:rPr>
              <w:t>1.4.</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Florida Retail</w:t>
            </w:r>
            <w:r w:rsidR="001D1BD2">
              <w:rPr>
                <w:noProof/>
                <w:webHidden/>
              </w:rPr>
              <w:tab/>
            </w:r>
            <w:r w:rsidR="001D1BD2">
              <w:rPr>
                <w:noProof/>
                <w:webHidden/>
              </w:rPr>
              <w:fldChar w:fldCharType="begin"/>
            </w:r>
            <w:r w:rsidR="001D1BD2">
              <w:rPr>
                <w:noProof/>
                <w:webHidden/>
              </w:rPr>
              <w:instrText xml:space="preserve"> PAGEREF _Toc169624654 \h </w:instrText>
            </w:r>
            <w:r w:rsidR="001D1BD2">
              <w:rPr>
                <w:noProof/>
                <w:webHidden/>
              </w:rPr>
            </w:r>
            <w:r w:rsidR="001D1BD2">
              <w:rPr>
                <w:noProof/>
                <w:webHidden/>
              </w:rPr>
              <w:fldChar w:fldCharType="separate"/>
            </w:r>
            <w:r w:rsidR="001D1BD2">
              <w:rPr>
                <w:noProof/>
                <w:webHidden/>
              </w:rPr>
              <w:t>66</w:t>
            </w:r>
            <w:r w:rsidR="001D1BD2">
              <w:rPr>
                <w:noProof/>
                <w:webHidden/>
              </w:rPr>
              <w:fldChar w:fldCharType="end"/>
            </w:r>
          </w:hyperlink>
        </w:p>
        <w:p w14:paraId="666EDE15" w14:textId="6080A9DC"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55" w:history="1">
            <w:r w:rsidR="001D1BD2" w:rsidRPr="00552E32">
              <w:rPr>
                <w:rStyle w:val="Hipervnculo"/>
                <w:rFonts w:cs="Arial"/>
                <w:noProof/>
              </w:rPr>
              <w:t>1.5.</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Florida Hospitalidad</w:t>
            </w:r>
            <w:r w:rsidR="001D1BD2">
              <w:rPr>
                <w:noProof/>
                <w:webHidden/>
              </w:rPr>
              <w:tab/>
            </w:r>
            <w:r w:rsidR="001D1BD2">
              <w:rPr>
                <w:noProof/>
                <w:webHidden/>
              </w:rPr>
              <w:fldChar w:fldCharType="begin"/>
            </w:r>
            <w:r w:rsidR="001D1BD2">
              <w:rPr>
                <w:noProof/>
                <w:webHidden/>
              </w:rPr>
              <w:instrText xml:space="preserve"> PAGEREF _Toc169624655 \h </w:instrText>
            </w:r>
            <w:r w:rsidR="001D1BD2">
              <w:rPr>
                <w:noProof/>
                <w:webHidden/>
              </w:rPr>
            </w:r>
            <w:r w:rsidR="001D1BD2">
              <w:rPr>
                <w:noProof/>
                <w:webHidden/>
              </w:rPr>
              <w:fldChar w:fldCharType="separate"/>
            </w:r>
            <w:r w:rsidR="001D1BD2">
              <w:rPr>
                <w:noProof/>
                <w:webHidden/>
              </w:rPr>
              <w:t>67</w:t>
            </w:r>
            <w:r w:rsidR="001D1BD2">
              <w:rPr>
                <w:noProof/>
                <w:webHidden/>
              </w:rPr>
              <w:fldChar w:fldCharType="end"/>
            </w:r>
          </w:hyperlink>
        </w:p>
        <w:p w14:paraId="464AB713" w14:textId="799B7E4B"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56" w:history="1">
            <w:r w:rsidR="001D1BD2" w:rsidRPr="00552E32">
              <w:rPr>
                <w:rStyle w:val="Hipervnculo"/>
                <w:rFonts w:cs="Arial"/>
                <w:noProof/>
              </w:rPr>
              <w:t>1.6.</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Florida Capitales</w:t>
            </w:r>
            <w:r w:rsidR="001D1BD2">
              <w:rPr>
                <w:noProof/>
                <w:webHidden/>
              </w:rPr>
              <w:tab/>
            </w:r>
            <w:r w:rsidR="001D1BD2">
              <w:rPr>
                <w:noProof/>
                <w:webHidden/>
              </w:rPr>
              <w:fldChar w:fldCharType="begin"/>
            </w:r>
            <w:r w:rsidR="001D1BD2">
              <w:rPr>
                <w:noProof/>
                <w:webHidden/>
              </w:rPr>
              <w:instrText xml:space="preserve"> PAGEREF _Toc169624656 \h </w:instrText>
            </w:r>
            <w:r w:rsidR="001D1BD2">
              <w:rPr>
                <w:noProof/>
                <w:webHidden/>
              </w:rPr>
            </w:r>
            <w:r w:rsidR="001D1BD2">
              <w:rPr>
                <w:noProof/>
                <w:webHidden/>
              </w:rPr>
              <w:fldChar w:fldCharType="separate"/>
            </w:r>
            <w:r w:rsidR="001D1BD2">
              <w:rPr>
                <w:noProof/>
                <w:webHidden/>
              </w:rPr>
              <w:t>68</w:t>
            </w:r>
            <w:r w:rsidR="001D1BD2">
              <w:rPr>
                <w:noProof/>
                <w:webHidden/>
              </w:rPr>
              <w:fldChar w:fldCharType="end"/>
            </w:r>
          </w:hyperlink>
        </w:p>
        <w:p w14:paraId="3B5E3FE0" w14:textId="53932CAE"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57" w:history="1">
            <w:r w:rsidR="001D1BD2" w:rsidRPr="00552E32">
              <w:rPr>
                <w:rStyle w:val="Hipervnculo"/>
                <w:rFonts w:cs="Arial"/>
                <w:noProof/>
              </w:rPr>
              <w:t>1.7.</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Otros resultados de operación</w:t>
            </w:r>
            <w:r w:rsidR="001D1BD2">
              <w:rPr>
                <w:noProof/>
                <w:webHidden/>
              </w:rPr>
              <w:tab/>
            </w:r>
            <w:r w:rsidR="001D1BD2">
              <w:rPr>
                <w:noProof/>
                <w:webHidden/>
              </w:rPr>
              <w:fldChar w:fldCharType="begin"/>
            </w:r>
            <w:r w:rsidR="001D1BD2">
              <w:rPr>
                <w:noProof/>
                <w:webHidden/>
              </w:rPr>
              <w:instrText xml:space="preserve"> PAGEREF _Toc169624657 \h </w:instrText>
            </w:r>
            <w:r w:rsidR="001D1BD2">
              <w:rPr>
                <w:noProof/>
                <w:webHidden/>
              </w:rPr>
            </w:r>
            <w:r w:rsidR="001D1BD2">
              <w:rPr>
                <w:noProof/>
                <w:webHidden/>
              </w:rPr>
              <w:fldChar w:fldCharType="separate"/>
            </w:r>
            <w:r w:rsidR="001D1BD2">
              <w:rPr>
                <w:noProof/>
                <w:webHidden/>
              </w:rPr>
              <w:t>68</w:t>
            </w:r>
            <w:r w:rsidR="001D1BD2">
              <w:rPr>
                <w:noProof/>
                <w:webHidden/>
              </w:rPr>
              <w:fldChar w:fldCharType="end"/>
            </w:r>
          </w:hyperlink>
        </w:p>
        <w:p w14:paraId="29C54466" w14:textId="48E5DD9C"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58" w:history="1">
            <w:r w:rsidR="001D1BD2" w:rsidRPr="00552E32">
              <w:rPr>
                <w:rStyle w:val="Hipervnculo"/>
                <w:rFonts w:cs="Arial"/>
                <w:noProof/>
              </w:rPr>
              <w:t>2.</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Resultados de Operación - Dimensión Social Interna</w:t>
            </w:r>
            <w:r w:rsidR="001D1BD2">
              <w:rPr>
                <w:noProof/>
                <w:webHidden/>
              </w:rPr>
              <w:tab/>
            </w:r>
            <w:r w:rsidR="001D1BD2">
              <w:rPr>
                <w:noProof/>
                <w:webHidden/>
              </w:rPr>
              <w:fldChar w:fldCharType="begin"/>
            </w:r>
            <w:r w:rsidR="001D1BD2">
              <w:rPr>
                <w:noProof/>
                <w:webHidden/>
              </w:rPr>
              <w:instrText xml:space="preserve"> PAGEREF _Toc169624658 \h </w:instrText>
            </w:r>
            <w:r w:rsidR="001D1BD2">
              <w:rPr>
                <w:noProof/>
                <w:webHidden/>
              </w:rPr>
            </w:r>
            <w:r w:rsidR="001D1BD2">
              <w:rPr>
                <w:noProof/>
                <w:webHidden/>
              </w:rPr>
              <w:fldChar w:fldCharType="separate"/>
            </w:r>
            <w:r w:rsidR="001D1BD2">
              <w:rPr>
                <w:noProof/>
                <w:webHidden/>
              </w:rPr>
              <w:t>71</w:t>
            </w:r>
            <w:r w:rsidR="001D1BD2">
              <w:rPr>
                <w:noProof/>
                <w:webHidden/>
              </w:rPr>
              <w:fldChar w:fldCharType="end"/>
            </w:r>
          </w:hyperlink>
        </w:p>
        <w:p w14:paraId="0FDDD699" w14:textId="0C47DF57"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59" w:history="1">
            <w:r w:rsidR="001D1BD2" w:rsidRPr="00552E32">
              <w:rPr>
                <w:rStyle w:val="Hipervnculo"/>
                <w:rFonts w:cs="Arial"/>
                <w:noProof/>
              </w:rPr>
              <w:t>2.1.</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AstroDesarrollo</w:t>
            </w:r>
            <w:r w:rsidR="001D1BD2">
              <w:rPr>
                <w:noProof/>
                <w:webHidden/>
              </w:rPr>
              <w:tab/>
            </w:r>
            <w:r w:rsidR="001D1BD2">
              <w:rPr>
                <w:noProof/>
                <w:webHidden/>
              </w:rPr>
              <w:fldChar w:fldCharType="begin"/>
            </w:r>
            <w:r w:rsidR="001D1BD2">
              <w:rPr>
                <w:noProof/>
                <w:webHidden/>
              </w:rPr>
              <w:instrText xml:space="preserve"> PAGEREF _Toc169624659 \h </w:instrText>
            </w:r>
            <w:r w:rsidR="001D1BD2">
              <w:rPr>
                <w:noProof/>
                <w:webHidden/>
              </w:rPr>
            </w:r>
            <w:r w:rsidR="001D1BD2">
              <w:rPr>
                <w:noProof/>
                <w:webHidden/>
              </w:rPr>
              <w:fldChar w:fldCharType="separate"/>
            </w:r>
            <w:r w:rsidR="001D1BD2">
              <w:rPr>
                <w:noProof/>
                <w:webHidden/>
              </w:rPr>
              <w:t>71</w:t>
            </w:r>
            <w:r w:rsidR="001D1BD2">
              <w:rPr>
                <w:noProof/>
                <w:webHidden/>
              </w:rPr>
              <w:fldChar w:fldCharType="end"/>
            </w:r>
          </w:hyperlink>
        </w:p>
        <w:p w14:paraId="4C7E6161" w14:textId="7EBC495E"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60" w:history="1">
            <w:r w:rsidR="001D1BD2" w:rsidRPr="00552E32">
              <w:rPr>
                <w:rStyle w:val="Hipervnculo"/>
                <w:rFonts w:cs="Arial"/>
                <w:noProof/>
              </w:rPr>
              <w:t>2.2.</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Derechos Humanos, Diversidad e Inclusión</w:t>
            </w:r>
            <w:r w:rsidR="001D1BD2">
              <w:rPr>
                <w:noProof/>
                <w:webHidden/>
              </w:rPr>
              <w:tab/>
            </w:r>
            <w:r w:rsidR="001D1BD2">
              <w:rPr>
                <w:noProof/>
                <w:webHidden/>
              </w:rPr>
              <w:fldChar w:fldCharType="begin"/>
            </w:r>
            <w:r w:rsidR="001D1BD2">
              <w:rPr>
                <w:noProof/>
                <w:webHidden/>
              </w:rPr>
              <w:instrText xml:space="preserve"> PAGEREF _Toc169624660 \h </w:instrText>
            </w:r>
            <w:r w:rsidR="001D1BD2">
              <w:rPr>
                <w:noProof/>
                <w:webHidden/>
              </w:rPr>
            </w:r>
            <w:r w:rsidR="001D1BD2">
              <w:rPr>
                <w:noProof/>
                <w:webHidden/>
              </w:rPr>
              <w:fldChar w:fldCharType="separate"/>
            </w:r>
            <w:r w:rsidR="001D1BD2">
              <w:rPr>
                <w:noProof/>
                <w:webHidden/>
              </w:rPr>
              <w:t>71</w:t>
            </w:r>
            <w:r w:rsidR="001D1BD2">
              <w:rPr>
                <w:noProof/>
                <w:webHidden/>
              </w:rPr>
              <w:fldChar w:fldCharType="end"/>
            </w:r>
          </w:hyperlink>
        </w:p>
        <w:p w14:paraId="276AB01D" w14:textId="7438627B"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61" w:history="1">
            <w:r w:rsidR="001D1BD2" w:rsidRPr="00552E32">
              <w:rPr>
                <w:rStyle w:val="Hipervnculo"/>
                <w:rFonts w:cs="Arial"/>
                <w:noProof/>
              </w:rPr>
              <w:t>2.3.</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Alineamiento Organizacional</w:t>
            </w:r>
            <w:r w:rsidR="001D1BD2">
              <w:rPr>
                <w:noProof/>
                <w:webHidden/>
              </w:rPr>
              <w:tab/>
            </w:r>
            <w:r w:rsidR="001D1BD2">
              <w:rPr>
                <w:noProof/>
                <w:webHidden/>
              </w:rPr>
              <w:fldChar w:fldCharType="begin"/>
            </w:r>
            <w:r w:rsidR="001D1BD2">
              <w:rPr>
                <w:noProof/>
                <w:webHidden/>
              </w:rPr>
              <w:instrText xml:space="preserve"> PAGEREF _Toc169624661 \h </w:instrText>
            </w:r>
            <w:r w:rsidR="001D1BD2">
              <w:rPr>
                <w:noProof/>
                <w:webHidden/>
              </w:rPr>
            </w:r>
            <w:r w:rsidR="001D1BD2">
              <w:rPr>
                <w:noProof/>
                <w:webHidden/>
              </w:rPr>
              <w:fldChar w:fldCharType="separate"/>
            </w:r>
            <w:r w:rsidR="001D1BD2">
              <w:rPr>
                <w:noProof/>
                <w:webHidden/>
              </w:rPr>
              <w:t>72</w:t>
            </w:r>
            <w:r w:rsidR="001D1BD2">
              <w:rPr>
                <w:noProof/>
                <w:webHidden/>
              </w:rPr>
              <w:fldChar w:fldCharType="end"/>
            </w:r>
          </w:hyperlink>
        </w:p>
        <w:p w14:paraId="42F31543" w14:textId="1ACD5678"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62" w:history="1">
            <w:r w:rsidR="001D1BD2" w:rsidRPr="00552E32">
              <w:rPr>
                <w:rStyle w:val="Hipervnculo"/>
                <w:rFonts w:cs="Arial"/>
                <w:noProof/>
              </w:rPr>
              <w:t>2.4.</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Teletrabajo y trabajo híbrido</w:t>
            </w:r>
            <w:r w:rsidR="001D1BD2">
              <w:rPr>
                <w:noProof/>
                <w:webHidden/>
              </w:rPr>
              <w:tab/>
            </w:r>
            <w:r w:rsidR="001D1BD2">
              <w:rPr>
                <w:noProof/>
                <w:webHidden/>
              </w:rPr>
              <w:fldChar w:fldCharType="begin"/>
            </w:r>
            <w:r w:rsidR="001D1BD2">
              <w:rPr>
                <w:noProof/>
                <w:webHidden/>
              </w:rPr>
              <w:instrText xml:space="preserve"> PAGEREF _Toc169624662 \h </w:instrText>
            </w:r>
            <w:r w:rsidR="001D1BD2">
              <w:rPr>
                <w:noProof/>
                <w:webHidden/>
              </w:rPr>
            </w:r>
            <w:r w:rsidR="001D1BD2">
              <w:rPr>
                <w:noProof/>
                <w:webHidden/>
              </w:rPr>
              <w:fldChar w:fldCharType="separate"/>
            </w:r>
            <w:r w:rsidR="001D1BD2">
              <w:rPr>
                <w:noProof/>
                <w:webHidden/>
              </w:rPr>
              <w:t>72</w:t>
            </w:r>
            <w:r w:rsidR="001D1BD2">
              <w:rPr>
                <w:noProof/>
                <w:webHidden/>
              </w:rPr>
              <w:fldChar w:fldCharType="end"/>
            </w:r>
          </w:hyperlink>
        </w:p>
        <w:p w14:paraId="0283852F" w14:textId="50762F7C"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63" w:history="1">
            <w:r w:rsidR="001D1BD2" w:rsidRPr="00552E32">
              <w:rPr>
                <w:rStyle w:val="Hipervnculo"/>
                <w:rFonts w:cs="Arial"/>
                <w:noProof/>
              </w:rPr>
              <w:t>2.5.</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Gestión del Talento</w:t>
            </w:r>
            <w:r w:rsidR="001D1BD2">
              <w:rPr>
                <w:noProof/>
                <w:webHidden/>
              </w:rPr>
              <w:tab/>
            </w:r>
            <w:r w:rsidR="001D1BD2">
              <w:rPr>
                <w:noProof/>
                <w:webHidden/>
              </w:rPr>
              <w:fldChar w:fldCharType="begin"/>
            </w:r>
            <w:r w:rsidR="001D1BD2">
              <w:rPr>
                <w:noProof/>
                <w:webHidden/>
              </w:rPr>
              <w:instrText xml:space="preserve"> PAGEREF _Toc169624663 \h </w:instrText>
            </w:r>
            <w:r w:rsidR="001D1BD2">
              <w:rPr>
                <w:noProof/>
                <w:webHidden/>
              </w:rPr>
            </w:r>
            <w:r w:rsidR="001D1BD2">
              <w:rPr>
                <w:noProof/>
                <w:webHidden/>
              </w:rPr>
              <w:fldChar w:fldCharType="separate"/>
            </w:r>
            <w:r w:rsidR="001D1BD2">
              <w:rPr>
                <w:noProof/>
                <w:webHidden/>
              </w:rPr>
              <w:t>73</w:t>
            </w:r>
            <w:r w:rsidR="001D1BD2">
              <w:rPr>
                <w:noProof/>
                <w:webHidden/>
              </w:rPr>
              <w:fldChar w:fldCharType="end"/>
            </w:r>
          </w:hyperlink>
        </w:p>
        <w:p w14:paraId="0A990763" w14:textId="75C87D64"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64" w:history="1">
            <w:r w:rsidR="001D1BD2" w:rsidRPr="00552E32">
              <w:rPr>
                <w:rStyle w:val="Hipervnculo"/>
                <w:rFonts w:cs="Arial"/>
                <w:noProof/>
              </w:rPr>
              <w:t>2.6.</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FIFCO Segura</w:t>
            </w:r>
            <w:r w:rsidR="001D1BD2">
              <w:rPr>
                <w:noProof/>
                <w:webHidden/>
              </w:rPr>
              <w:tab/>
            </w:r>
            <w:r w:rsidR="001D1BD2">
              <w:rPr>
                <w:noProof/>
                <w:webHidden/>
              </w:rPr>
              <w:fldChar w:fldCharType="begin"/>
            </w:r>
            <w:r w:rsidR="001D1BD2">
              <w:rPr>
                <w:noProof/>
                <w:webHidden/>
              </w:rPr>
              <w:instrText xml:space="preserve"> PAGEREF _Toc169624664 \h </w:instrText>
            </w:r>
            <w:r w:rsidR="001D1BD2">
              <w:rPr>
                <w:noProof/>
                <w:webHidden/>
              </w:rPr>
            </w:r>
            <w:r w:rsidR="001D1BD2">
              <w:rPr>
                <w:noProof/>
                <w:webHidden/>
              </w:rPr>
              <w:fldChar w:fldCharType="separate"/>
            </w:r>
            <w:r w:rsidR="001D1BD2">
              <w:rPr>
                <w:noProof/>
                <w:webHidden/>
              </w:rPr>
              <w:t>73</w:t>
            </w:r>
            <w:r w:rsidR="001D1BD2">
              <w:rPr>
                <w:noProof/>
                <w:webHidden/>
              </w:rPr>
              <w:fldChar w:fldCharType="end"/>
            </w:r>
          </w:hyperlink>
        </w:p>
        <w:p w14:paraId="2BBD13FF" w14:textId="3966D6F8"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65" w:history="1">
            <w:r w:rsidR="001D1BD2" w:rsidRPr="00552E32">
              <w:rPr>
                <w:rStyle w:val="Hipervnculo"/>
                <w:rFonts w:cs="Arial"/>
                <w:noProof/>
              </w:rPr>
              <w:t>3.</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Resultados de Operación - Dimensión Social Externa</w:t>
            </w:r>
            <w:r w:rsidR="001D1BD2">
              <w:rPr>
                <w:noProof/>
                <w:webHidden/>
              </w:rPr>
              <w:tab/>
            </w:r>
            <w:r w:rsidR="001D1BD2">
              <w:rPr>
                <w:noProof/>
                <w:webHidden/>
              </w:rPr>
              <w:fldChar w:fldCharType="begin"/>
            </w:r>
            <w:r w:rsidR="001D1BD2">
              <w:rPr>
                <w:noProof/>
                <w:webHidden/>
              </w:rPr>
              <w:instrText xml:space="preserve"> PAGEREF _Toc169624665 \h </w:instrText>
            </w:r>
            <w:r w:rsidR="001D1BD2">
              <w:rPr>
                <w:noProof/>
                <w:webHidden/>
              </w:rPr>
            </w:r>
            <w:r w:rsidR="001D1BD2">
              <w:rPr>
                <w:noProof/>
                <w:webHidden/>
              </w:rPr>
              <w:fldChar w:fldCharType="separate"/>
            </w:r>
            <w:r w:rsidR="001D1BD2">
              <w:rPr>
                <w:noProof/>
                <w:webHidden/>
              </w:rPr>
              <w:t>74</w:t>
            </w:r>
            <w:r w:rsidR="001D1BD2">
              <w:rPr>
                <w:noProof/>
                <w:webHidden/>
              </w:rPr>
              <w:fldChar w:fldCharType="end"/>
            </w:r>
          </w:hyperlink>
        </w:p>
        <w:p w14:paraId="0FB4DC7F" w14:textId="1F7613AE"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66" w:history="1">
            <w:r w:rsidR="001D1BD2" w:rsidRPr="00552E32">
              <w:rPr>
                <w:rStyle w:val="Hipervnculo"/>
                <w:rFonts w:cs="Arial"/>
                <w:noProof/>
              </w:rPr>
              <w:t>3.1.</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Consumo Inteligente Integral</w:t>
            </w:r>
            <w:r w:rsidR="001D1BD2">
              <w:rPr>
                <w:noProof/>
                <w:webHidden/>
              </w:rPr>
              <w:tab/>
            </w:r>
            <w:r w:rsidR="001D1BD2">
              <w:rPr>
                <w:noProof/>
                <w:webHidden/>
              </w:rPr>
              <w:fldChar w:fldCharType="begin"/>
            </w:r>
            <w:r w:rsidR="001D1BD2">
              <w:rPr>
                <w:noProof/>
                <w:webHidden/>
              </w:rPr>
              <w:instrText xml:space="preserve"> PAGEREF _Toc169624666 \h </w:instrText>
            </w:r>
            <w:r w:rsidR="001D1BD2">
              <w:rPr>
                <w:noProof/>
                <w:webHidden/>
              </w:rPr>
            </w:r>
            <w:r w:rsidR="001D1BD2">
              <w:rPr>
                <w:noProof/>
                <w:webHidden/>
              </w:rPr>
              <w:fldChar w:fldCharType="separate"/>
            </w:r>
            <w:r w:rsidR="001D1BD2">
              <w:rPr>
                <w:noProof/>
                <w:webHidden/>
              </w:rPr>
              <w:t>74</w:t>
            </w:r>
            <w:r w:rsidR="001D1BD2">
              <w:rPr>
                <w:noProof/>
                <w:webHidden/>
              </w:rPr>
              <w:fldChar w:fldCharType="end"/>
            </w:r>
          </w:hyperlink>
        </w:p>
        <w:p w14:paraId="287BA794" w14:textId="1F2B5AD0"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67" w:history="1">
            <w:r w:rsidR="001D1BD2" w:rsidRPr="00552E32">
              <w:rPr>
                <w:rStyle w:val="Hipervnculo"/>
                <w:rFonts w:cs="Arial"/>
                <w:noProof/>
              </w:rPr>
              <w:t>3.2.</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Programa de Formación Dual</w:t>
            </w:r>
            <w:r w:rsidR="001D1BD2">
              <w:rPr>
                <w:noProof/>
                <w:webHidden/>
              </w:rPr>
              <w:tab/>
            </w:r>
            <w:r w:rsidR="001D1BD2">
              <w:rPr>
                <w:noProof/>
                <w:webHidden/>
              </w:rPr>
              <w:fldChar w:fldCharType="begin"/>
            </w:r>
            <w:r w:rsidR="001D1BD2">
              <w:rPr>
                <w:noProof/>
                <w:webHidden/>
              </w:rPr>
              <w:instrText xml:space="preserve"> PAGEREF _Toc169624667 \h </w:instrText>
            </w:r>
            <w:r w:rsidR="001D1BD2">
              <w:rPr>
                <w:noProof/>
                <w:webHidden/>
              </w:rPr>
            </w:r>
            <w:r w:rsidR="001D1BD2">
              <w:rPr>
                <w:noProof/>
                <w:webHidden/>
              </w:rPr>
              <w:fldChar w:fldCharType="separate"/>
            </w:r>
            <w:r w:rsidR="001D1BD2">
              <w:rPr>
                <w:noProof/>
                <w:webHidden/>
              </w:rPr>
              <w:t>75</w:t>
            </w:r>
            <w:r w:rsidR="001D1BD2">
              <w:rPr>
                <w:noProof/>
                <w:webHidden/>
              </w:rPr>
              <w:fldChar w:fldCharType="end"/>
            </w:r>
          </w:hyperlink>
        </w:p>
        <w:p w14:paraId="2AD893C6" w14:textId="1E2AD45B"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68" w:history="1">
            <w:r w:rsidR="001D1BD2" w:rsidRPr="00552E32">
              <w:rPr>
                <w:rStyle w:val="Hipervnculo"/>
                <w:rFonts w:cs="Arial"/>
                <w:noProof/>
              </w:rPr>
              <w:t>3.3.</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Programa de Voluntariado Elegí Ayudar</w:t>
            </w:r>
            <w:r w:rsidR="001D1BD2">
              <w:rPr>
                <w:noProof/>
                <w:webHidden/>
              </w:rPr>
              <w:tab/>
            </w:r>
            <w:r w:rsidR="001D1BD2">
              <w:rPr>
                <w:noProof/>
                <w:webHidden/>
              </w:rPr>
              <w:fldChar w:fldCharType="begin"/>
            </w:r>
            <w:r w:rsidR="001D1BD2">
              <w:rPr>
                <w:noProof/>
                <w:webHidden/>
              </w:rPr>
              <w:instrText xml:space="preserve"> PAGEREF _Toc169624668 \h </w:instrText>
            </w:r>
            <w:r w:rsidR="001D1BD2">
              <w:rPr>
                <w:noProof/>
                <w:webHidden/>
              </w:rPr>
            </w:r>
            <w:r w:rsidR="001D1BD2">
              <w:rPr>
                <w:noProof/>
                <w:webHidden/>
              </w:rPr>
              <w:fldChar w:fldCharType="separate"/>
            </w:r>
            <w:r w:rsidR="001D1BD2">
              <w:rPr>
                <w:noProof/>
                <w:webHidden/>
              </w:rPr>
              <w:t>76</w:t>
            </w:r>
            <w:r w:rsidR="001D1BD2">
              <w:rPr>
                <w:noProof/>
                <w:webHidden/>
              </w:rPr>
              <w:fldChar w:fldCharType="end"/>
            </w:r>
          </w:hyperlink>
        </w:p>
        <w:p w14:paraId="51A9DB33" w14:textId="4F77C19B"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69" w:history="1">
            <w:r w:rsidR="001D1BD2" w:rsidRPr="00552E32">
              <w:rPr>
                <w:rStyle w:val="Hipervnculo"/>
                <w:rFonts w:cs="Arial"/>
                <w:noProof/>
              </w:rPr>
              <w:t>3.4.</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Agenda de Sostenibilidad basada en la gobernanza.</w:t>
            </w:r>
            <w:r w:rsidR="001D1BD2">
              <w:rPr>
                <w:noProof/>
                <w:webHidden/>
              </w:rPr>
              <w:tab/>
            </w:r>
            <w:r w:rsidR="001D1BD2">
              <w:rPr>
                <w:noProof/>
                <w:webHidden/>
              </w:rPr>
              <w:fldChar w:fldCharType="begin"/>
            </w:r>
            <w:r w:rsidR="001D1BD2">
              <w:rPr>
                <w:noProof/>
                <w:webHidden/>
              </w:rPr>
              <w:instrText xml:space="preserve"> PAGEREF _Toc169624669 \h </w:instrText>
            </w:r>
            <w:r w:rsidR="001D1BD2">
              <w:rPr>
                <w:noProof/>
                <w:webHidden/>
              </w:rPr>
            </w:r>
            <w:r w:rsidR="001D1BD2">
              <w:rPr>
                <w:noProof/>
                <w:webHidden/>
              </w:rPr>
              <w:fldChar w:fldCharType="separate"/>
            </w:r>
            <w:r w:rsidR="001D1BD2">
              <w:rPr>
                <w:noProof/>
                <w:webHidden/>
              </w:rPr>
              <w:t>76</w:t>
            </w:r>
            <w:r w:rsidR="001D1BD2">
              <w:rPr>
                <w:noProof/>
                <w:webHidden/>
              </w:rPr>
              <w:fldChar w:fldCharType="end"/>
            </w:r>
          </w:hyperlink>
        </w:p>
        <w:p w14:paraId="7C4B0190" w14:textId="05F116E5"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70" w:history="1">
            <w:r w:rsidR="001D1BD2" w:rsidRPr="00552E32">
              <w:rPr>
                <w:rStyle w:val="Hipervnculo"/>
                <w:rFonts w:cs="Arial"/>
                <w:noProof/>
              </w:rPr>
              <w:t>3.5.</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Ética y Transparencia</w:t>
            </w:r>
            <w:r w:rsidR="001D1BD2">
              <w:rPr>
                <w:noProof/>
                <w:webHidden/>
              </w:rPr>
              <w:tab/>
            </w:r>
            <w:r w:rsidR="001D1BD2">
              <w:rPr>
                <w:noProof/>
                <w:webHidden/>
              </w:rPr>
              <w:fldChar w:fldCharType="begin"/>
            </w:r>
            <w:r w:rsidR="001D1BD2">
              <w:rPr>
                <w:noProof/>
                <w:webHidden/>
              </w:rPr>
              <w:instrText xml:space="preserve"> PAGEREF _Toc169624670 \h </w:instrText>
            </w:r>
            <w:r w:rsidR="001D1BD2">
              <w:rPr>
                <w:noProof/>
                <w:webHidden/>
              </w:rPr>
            </w:r>
            <w:r w:rsidR="001D1BD2">
              <w:rPr>
                <w:noProof/>
                <w:webHidden/>
              </w:rPr>
              <w:fldChar w:fldCharType="separate"/>
            </w:r>
            <w:r w:rsidR="001D1BD2">
              <w:rPr>
                <w:noProof/>
                <w:webHidden/>
              </w:rPr>
              <w:t>78</w:t>
            </w:r>
            <w:r w:rsidR="001D1BD2">
              <w:rPr>
                <w:noProof/>
                <w:webHidden/>
              </w:rPr>
              <w:fldChar w:fldCharType="end"/>
            </w:r>
          </w:hyperlink>
        </w:p>
        <w:p w14:paraId="6487E526" w14:textId="5B91B0F2"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71" w:history="1">
            <w:r w:rsidR="001D1BD2" w:rsidRPr="00552E32">
              <w:rPr>
                <w:rStyle w:val="Hipervnculo"/>
                <w:rFonts w:cs="Arial"/>
                <w:noProof/>
              </w:rPr>
              <w:t>4.</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Resultados de Operación - Dimensión Ambiental</w:t>
            </w:r>
            <w:r w:rsidR="001D1BD2">
              <w:rPr>
                <w:noProof/>
                <w:webHidden/>
              </w:rPr>
              <w:tab/>
            </w:r>
            <w:r w:rsidR="001D1BD2">
              <w:rPr>
                <w:noProof/>
                <w:webHidden/>
              </w:rPr>
              <w:fldChar w:fldCharType="begin"/>
            </w:r>
            <w:r w:rsidR="001D1BD2">
              <w:rPr>
                <w:noProof/>
                <w:webHidden/>
              </w:rPr>
              <w:instrText xml:space="preserve"> PAGEREF _Toc169624671 \h </w:instrText>
            </w:r>
            <w:r w:rsidR="001D1BD2">
              <w:rPr>
                <w:noProof/>
                <w:webHidden/>
              </w:rPr>
            </w:r>
            <w:r w:rsidR="001D1BD2">
              <w:rPr>
                <w:noProof/>
                <w:webHidden/>
              </w:rPr>
              <w:fldChar w:fldCharType="separate"/>
            </w:r>
            <w:r w:rsidR="001D1BD2">
              <w:rPr>
                <w:noProof/>
                <w:webHidden/>
              </w:rPr>
              <w:t>79</w:t>
            </w:r>
            <w:r w:rsidR="001D1BD2">
              <w:rPr>
                <w:noProof/>
                <w:webHidden/>
              </w:rPr>
              <w:fldChar w:fldCharType="end"/>
            </w:r>
          </w:hyperlink>
        </w:p>
        <w:p w14:paraId="4C6EDC1D" w14:textId="19628182"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72" w:history="1">
            <w:r w:rsidR="001D1BD2" w:rsidRPr="00552E32">
              <w:rPr>
                <w:rStyle w:val="Hipervnculo"/>
                <w:rFonts w:cs="Arial"/>
                <w:noProof/>
              </w:rPr>
              <w:t>4.1.</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Uso de materiales</w:t>
            </w:r>
            <w:r w:rsidR="001D1BD2">
              <w:rPr>
                <w:noProof/>
                <w:webHidden/>
              </w:rPr>
              <w:tab/>
            </w:r>
            <w:r w:rsidR="001D1BD2">
              <w:rPr>
                <w:noProof/>
                <w:webHidden/>
              </w:rPr>
              <w:fldChar w:fldCharType="begin"/>
            </w:r>
            <w:r w:rsidR="001D1BD2">
              <w:rPr>
                <w:noProof/>
                <w:webHidden/>
              </w:rPr>
              <w:instrText xml:space="preserve"> PAGEREF _Toc169624672 \h </w:instrText>
            </w:r>
            <w:r w:rsidR="001D1BD2">
              <w:rPr>
                <w:noProof/>
                <w:webHidden/>
              </w:rPr>
            </w:r>
            <w:r w:rsidR="001D1BD2">
              <w:rPr>
                <w:noProof/>
                <w:webHidden/>
              </w:rPr>
              <w:fldChar w:fldCharType="separate"/>
            </w:r>
            <w:r w:rsidR="001D1BD2">
              <w:rPr>
                <w:noProof/>
                <w:webHidden/>
              </w:rPr>
              <w:t>79</w:t>
            </w:r>
            <w:r w:rsidR="001D1BD2">
              <w:rPr>
                <w:noProof/>
                <w:webHidden/>
              </w:rPr>
              <w:fldChar w:fldCharType="end"/>
            </w:r>
          </w:hyperlink>
        </w:p>
        <w:p w14:paraId="53FF214C" w14:textId="581C8B24"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73" w:history="1">
            <w:r w:rsidR="001D1BD2" w:rsidRPr="00552E32">
              <w:rPr>
                <w:rStyle w:val="Hipervnculo"/>
                <w:rFonts w:cs="Arial"/>
                <w:noProof/>
              </w:rPr>
              <w:t>4.2.</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FIFCO Circular</w:t>
            </w:r>
            <w:r w:rsidR="001D1BD2">
              <w:rPr>
                <w:noProof/>
                <w:webHidden/>
              </w:rPr>
              <w:tab/>
            </w:r>
            <w:r w:rsidR="001D1BD2">
              <w:rPr>
                <w:noProof/>
                <w:webHidden/>
              </w:rPr>
              <w:fldChar w:fldCharType="begin"/>
            </w:r>
            <w:r w:rsidR="001D1BD2">
              <w:rPr>
                <w:noProof/>
                <w:webHidden/>
              </w:rPr>
              <w:instrText xml:space="preserve"> PAGEREF _Toc169624673 \h </w:instrText>
            </w:r>
            <w:r w:rsidR="001D1BD2">
              <w:rPr>
                <w:noProof/>
                <w:webHidden/>
              </w:rPr>
            </w:r>
            <w:r w:rsidR="001D1BD2">
              <w:rPr>
                <w:noProof/>
                <w:webHidden/>
              </w:rPr>
              <w:fldChar w:fldCharType="separate"/>
            </w:r>
            <w:r w:rsidR="001D1BD2">
              <w:rPr>
                <w:noProof/>
                <w:webHidden/>
              </w:rPr>
              <w:t>79</w:t>
            </w:r>
            <w:r w:rsidR="001D1BD2">
              <w:rPr>
                <w:noProof/>
                <w:webHidden/>
              </w:rPr>
              <w:fldChar w:fldCharType="end"/>
            </w:r>
          </w:hyperlink>
        </w:p>
        <w:p w14:paraId="7DAD3580" w14:textId="7EDD4D76"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74" w:history="1">
            <w:r w:rsidR="001D1BD2" w:rsidRPr="00552E32">
              <w:rPr>
                <w:rStyle w:val="Hipervnculo"/>
                <w:rFonts w:cs="Arial"/>
                <w:noProof/>
              </w:rPr>
              <w:t>4.3.</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Desechos Post Consumo</w:t>
            </w:r>
            <w:r w:rsidR="001D1BD2">
              <w:rPr>
                <w:noProof/>
                <w:webHidden/>
              </w:rPr>
              <w:tab/>
            </w:r>
            <w:r w:rsidR="001D1BD2">
              <w:rPr>
                <w:noProof/>
                <w:webHidden/>
              </w:rPr>
              <w:fldChar w:fldCharType="begin"/>
            </w:r>
            <w:r w:rsidR="001D1BD2">
              <w:rPr>
                <w:noProof/>
                <w:webHidden/>
              </w:rPr>
              <w:instrText xml:space="preserve"> PAGEREF _Toc169624674 \h </w:instrText>
            </w:r>
            <w:r w:rsidR="001D1BD2">
              <w:rPr>
                <w:noProof/>
                <w:webHidden/>
              </w:rPr>
            </w:r>
            <w:r w:rsidR="001D1BD2">
              <w:rPr>
                <w:noProof/>
                <w:webHidden/>
              </w:rPr>
              <w:fldChar w:fldCharType="separate"/>
            </w:r>
            <w:r w:rsidR="001D1BD2">
              <w:rPr>
                <w:noProof/>
                <w:webHidden/>
              </w:rPr>
              <w:t>80</w:t>
            </w:r>
            <w:r w:rsidR="001D1BD2">
              <w:rPr>
                <w:noProof/>
                <w:webHidden/>
              </w:rPr>
              <w:fldChar w:fldCharType="end"/>
            </w:r>
          </w:hyperlink>
        </w:p>
        <w:p w14:paraId="78EA67FB" w14:textId="65544436"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75" w:history="1">
            <w:r w:rsidR="001D1BD2" w:rsidRPr="00552E32">
              <w:rPr>
                <w:rStyle w:val="Hipervnculo"/>
                <w:rFonts w:cs="Arial"/>
                <w:noProof/>
              </w:rPr>
              <w:t>4.4.</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Programa de Reciclaje Post Industrial y Estrategia Cero Residuos</w:t>
            </w:r>
            <w:r w:rsidR="001D1BD2">
              <w:rPr>
                <w:noProof/>
                <w:webHidden/>
              </w:rPr>
              <w:tab/>
            </w:r>
            <w:r w:rsidR="001D1BD2">
              <w:rPr>
                <w:noProof/>
                <w:webHidden/>
              </w:rPr>
              <w:fldChar w:fldCharType="begin"/>
            </w:r>
            <w:r w:rsidR="001D1BD2">
              <w:rPr>
                <w:noProof/>
                <w:webHidden/>
              </w:rPr>
              <w:instrText xml:space="preserve"> PAGEREF _Toc169624675 \h </w:instrText>
            </w:r>
            <w:r w:rsidR="001D1BD2">
              <w:rPr>
                <w:noProof/>
                <w:webHidden/>
              </w:rPr>
            </w:r>
            <w:r w:rsidR="001D1BD2">
              <w:rPr>
                <w:noProof/>
                <w:webHidden/>
              </w:rPr>
              <w:fldChar w:fldCharType="separate"/>
            </w:r>
            <w:r w:rsidR="001D1BD2">
              <w:rPr>
                <w:noProof/>
                <w:webHidden/>
              </w:rPr>
              <w:t>80</w:t>
            </w:r>
            <w:r w:rsidR="001D1BD2">
              <w:rPr>
                <w:noProof/>
                <w:webHidden/>
              </w:rPr>
              <w:fldChar w:fldCharType="end"/>
            </w:r>
          </w:hyperlink>
        </w:p>
        <w:p w14:paraId="53A40B62" w14:textId="17814695"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76" w:history="1">
            <w:r w:rsidR="001D1BD2" w:rsidRPr="00552E32">
              <w:rPr>
                <w:rStyle w:val="Hipervnculo"/>
                <w:rFonts w:cs="Arial"/>
                <w:noProof/>
              </w:rPr>
              <w:t>4.5.</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Portafolio de envases sostenibles</w:t>
            </w:r>
            <w:r w:rsidR="001D1BD2">
              <w:rPr>
                <w:noProof/>
                <w:webHidden/>
              </w:rPr>
              <w:tab/>
            </w:r>
            <w:r w:rsidR="001D1BD2">
              <w:rPr>
                <w:noProof/>
                <w:webHidden/>
              </w:rPr>
              <w:fldChar w:fldCharType="begin"/>
            </w:r>
            <w:r w:rsidR="001D1BD2">
              <w:rPr>
                <w:noProof/>
                <w:webHidden/>
              </w:rPr>
              <w:instrText xml:space="preserve"> PAGEREF _Toc169624676 \h </w:instrText>
            </w:r>
            <w:r w:rsidR="001D1BD2">
              <w:rPr>
                <w:noProof/>
                <w:webHidden/>
              </w:rPr>
            </w:r>
            <w:r w:rsidR="001D1BD2">
              <w:rPr>
                <w:noProof/>
                <w:webHidden/>
              </w:rPr>
              <w:fldChar w:fldCharType="separate"/>
            </w:r>
            <w:r w:rsidR="001D1BD2">
              <w:rPr>
                <w:noProof/>
                <w:webHidden/>
              </w:rPr>
              <w:t>81</w:t>
            </w:r>
            <w:r w:rsidR="001D1BD2">
              <w:rPr>
                <w:noProof/>
                <w:webHidden/>
              </w:rPr>
              <w:fldChar w:fldCharType="end"/>
            </w:r>
          </w:hyperlink>
        </w:p>
        <w:p w14:paraId="57558A8A" w14:textId="59068B9D"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77" w:history="1">
            <w:r w:rsidR="001D1BD2" w:rsidRPr="00552E32">
              <w:rPr>
                <w:rStyle w:val="Hipervnculo"/>
                <w:rFonts w:cs="Arial"/>
                <w:noProof/>
              </w:rPr>
              <w:t>4.6.</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Agua y saneamiento</w:t>
            </w:r>
            <w:r w:rsidR="001D1BD2">
              <w:rPr>
                <w:noProof/>
                <w:webHidden/>
              </w:rPr>
              <w:tab/>
            </w:r>
            <w:r w:rsidR="001D1BD2">
              <w:rPr>
                <w:noProof/>
                <w:webHidden/>
              </w:rPr>
              <w:fldChar w:fldCharType="begin"/>
            </w:r>
            <w:r w:rsidR="001D1BD2">
              <w:rPr>
                <w:noProof/>
                <w:webHidden/>
              </w:rPr>
              <w:instrText xml:space="preserve"> PAGEREF _Toc169624677 \h </w:instrText>
            </w:r>
            <w:r w:rsidR="001D1BD2">
              <w:rPr>
                <w:noProof/>
                <w:webHidden/>
              </w:rPr>
            </w:r>
            <w:r w:rsidR="001D1BD2">
              <w:rPr>
                <w:noProof/>
                <w:webHidden/>
              </w:rPr>
              <w:fldChar w:fldCharType="separate"/>
            </w:r>
            <w:r w:rsidR="001D1BD2">
              <w:rPr>
                <w:noProof/>
                <w:webHidden/>
              </w:rPr>
              <w:t>81</w:t>
            </w:r>
            <w:r w:rsidR="001D1BD2">
              <w:rPr>
                <w:noProof/>
                <w:webHidden/>
              </w:rPr>
              <w:fldChar w:fldCharType="end"/>
            </w:r>
          </w:hyperlink>
        </w:p>
        <w:p w14:paraId="07B0A51B" w14:textId="5EE14419"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78" w:history="1">
            <w:r w:rsidR="001D1BD2" w:rsidRPr="00552E32">
              <w:rPr>
                <w:rStyle w:val="Hipervnculo"/>
                <w:rFonts w:cs="Arial"/>
                <w:noProof/>
              </w:rPr>
              <w:t>4.7.</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Energía, emisiones y carbono positivo</w:t>
            </w:r>
            <w:r w:rsidR="001D1BD2">
              <w:rPr>
                <w:noProof/>
                <w:webHidden/>
              </w:rPr>
              <w:tab/>
            </w:r>
            <w:r w:rsidR="001D1BD2">
              <w:rPr>
                <w:noProof/>
                <w:webHidden/>
              </w:rPr>
              <w:fldChar w:fldCharType="begin"/>
            </w:r>
            <w:r w:rsidR="001D1BD2">
              <w:rPr>
                <w:noProof/>
                <w:webHidden/>
              </w:rPr>
              <w:instrText xml:space="preserve"> PAGEREF _Toc169624678 \h </w:instrText>
            </w:r>
            <w:r w:rsidR="001D1BD2">
              <w:rPr>
                <w:noProof/>
                <w:webHidden/>
              </w:rPr>
            </w:r>
            <w:r w:rsidR="001D1BD2">
              <w:rPr>
                <w:noProof/>
                <w:webHidden/>
              </w:rPr>
              <w:fldChar w:fldCharType="separate"/>
            </w:r>
            <w:r w:rsidR="001D1BD2">
              <w:rPr>
                <w:noProof/>
                <w:webHidden/>
              </w:rPr>
              <w:t>82</w:t>
            </w:r>
            <w:r w:rsidR="001D1BD2">
              <w:rPr>
                <w:noProof/>
                <w:webHidden/>
              </w:rPr>
              <w:fldChar w:fldCharType="end"/>
            </w:r>
          </w:hyperlink>
        </w:p>
        <w:p w14:paraId="1EBAAF8A" w14:textId="1F0179BC"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79" w:history="1">
            <w:r w:rsidR="001D1BD2" w:rsidRPr="00552E32">
              <w:rPr>
                <w:rStyle w:val="Hipervnculo"/>
                <w:rFonts w:cs="Arial"/>
                <w:noProof/>
              </w:rPr>
              <w:t>4.8.</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Certificaciones ambientales y otros reconocimientos</w:t>
            </w:r>
            <w:r w:rsidR="001D1BD2">
              <w:rPr>
                <w:noProof/>
                <w:webHidden/>
              </w:rPr>
              <w:tab/>
            </w:r>
            <w:r w:rsidR="001D1BD2">
              <w:rPr>
                <w:noProof/>
                <w:webHidden/>
              </w:rPr>
              <w:fldChar w:fldCharType="begin"/>
            </w:r>
            <w:r w:rsidR="001D1BD2">
              <w:rPr>
                <w:noProof/>
                <w:webHidden/>
              </w:rPr>
              <w:instrText xml:space="preserve"> PAGEREF _Toc169624679 \h </w:instrText>
            </w:r>
            <w:r w:rsidR="001D1BD2">
              <w:rPr>
                <w:noProof/>
                <w:webHidden/>
              </w:rPr>
            </w:r>
            <w:r w:rsidR="001D1BD2">
              <w:rPr>
                <w:noProof/>
                <w:webHidden/>
              </w:rPr>
              <w:fldChar w:fldCharType="separate"/>
            </w:r>
            <w:r w:rsidR="001D1BD2">
              <w:rPr>
                <w:noProof/>
                <w:webHidden/>
              </w:rPr>
              <w:t>84</w:t>
            </w:r>
            <w:r w:rsidR="001D1BD2">
              <w:rPr>
                <w:noProof/>
                <w:webHidden/>
              </w:rPr>
              <w:fldChar w:fldCharType="end"/>
            </w:r>
          </w:hyperlink>
        </w:p>
        <w:p w14:paraId="7AECF37B" w14:textId="5A3A3557"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80" w:history="1">
            <w:r w:rsidR="001D1BD2" w:rsidRPr="00552E32">
              <w:rPr>
                <w:rStyle w:val="Hipervnculo"/>
                <w:rFonts w:cs="Arial"/>
                <w:noProof/>
              </w:rPr>
              <w:t>4.9.</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Quejas, denuncias y sanciones</w:t>
            </w:r>
            <w:r w:rsidR="001D1BD2">
              <w:rPr>
                <w:noProof/>
                <w:webHidden/>
              </w:rPr>
              <w:tab/>
            </w:r>
            <w:r w:rsidR="001D1BD2">
              <w:rPr>
                <w:noProof/>
                <w:webHidden/>
              </w:rPr>
              <w:fldChar w:fldCharType="begin"/>
            </w:r>
            <w:r w:rsidR="001D1BD2">
              <w:rPr>
                <w:noProof/>
                <w:webHidden/>
              </w:rPr>
              <w:instrText xml:space="preserve"> PAGEREF _Toc169624680 \h </w:instrText>
            </w:r>
            <w:r w:rsidR="001D1BD2">
              <w:rPr>
                <w:noProof/>
                <w:webHidden/>
              </w:rPr>
            </w:r>
            <w:r w:rsidR="001D1BD2">
              <w:rPr>
                <w:noProof/>
                <w:webHidden/>
              </w:rPr>
              <w:fldChar w:fldCharType="separate"/>
            </w:r>
            <w:r w:rsidR="001D1BD2">
              <w:rPr>
                <w:noProof/>
                <w:webHidden/>
              </w:rPr>
              <w:t>84</w:t>
            </w:r>
            <w:r w:rsidR="001D1BD2">
              <w:rPr>
                <w:noProof/>
                <w:webHidden/>
              </w:rPr>
              <w:fldChar w:fldCharType="end"/>
            </w:r>
          </w:hyperlink>
        </w:p>
        <w:p w14:paraId="6F45B848" w14:textId="48438659"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81" w:history="1">
            <w:r w:rsidR="001D1BD2" w:rsidRPr="00552E32">
              <w:rPr>
                <w:rStyle w:val="Hipervnculo"/>
                <w:rFonts w:cs="Arial"/>
                <w:noProof/>
              </w:rPr>
              <w:t>4.10.</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Biodiversidad</w:t>
            </w:r>
            <w:r w:rsidR="001D1BD2">
              <w:rPr>
                <w:noProof/>
                <w:webHidden/>
              </w:rPr>
              <w:tab/>
            </w:r>
            <w:r w:rsidR="001D1BD2">
              <w:rPr>
                <w:noProof/>
                <w:webHidden/>
              </w:rPr>
              <w:fldChar w:fldCharType="begin"/>
            </w:r>
            <w:r w:rsidR="001D1BD2">
              <w:rPr>
                <w:noProof/>
                <w:webHidden/>
              </w:rPr>
              <w:instrText xml:space="preserve"> PAGEREF _Toc169624681 \h </w:instrText>
            </w:r>
            <w:r w:rsidR="001D1BD2">
              <w:rPr>
                <w:noProof/>
                <w:webHidden/>
              </w:rPr>
            </w:r>
            <w:r w:rsidR="001D1BD2">
              <w:rPr>
                <w:noProof/>
                <w:webHidden/>
              </w:rPr>
              <w:fldChar w:fldCharType="separate"/>
            </w:r>
            <w:r w:rsidR="001D1BD2">
              <w:rPr>
                <w:noProof/>
                <w:webHidden/>
              </w:rPr>
              <w:t>84</w:t>
            </w:r>
            <w:r w:rsidR="001D1BD2">
              <w:rPr>
                <w:noProof/>
                <w:webHidden/>
              </w:rPr>
              <w:fldChar w:fldCharType="end"/>
            </w:r>
          </w:hyperlink>
        </w:p>
        <w:p w14:paraId="60BB9312" w14:textId="01A0FE23" w:rsidR="001D1BD2" w:rsidRDefault="00000000">
          <w:pPr>
            <w:pStyle w:val="TDC1"/>
            <w:rPr>
              <w:rFonts w:asciiTheme="minorHAnsi" w:eastAsiaTheme="minorEastAsia" w:hAnsiTheme="minorHAnsi"/>
              <w:noProof/>
              <w:kern w:val="2"/>
              <w:sz w:val="24"/>
              <w:szCs w:val="24"/>
              <w:lang w:val="es-419" w:eastAsia="es-419"/>
              <w14:ligatures w14:val="standardContextual"/>
            </w:rPr>
          </w:pPr>
          <w:hyperlink w:anchor="_Toc169624682" w:history="1">
            <w:r w:rsidR="001D1BD2" w:rsidRPr="00552E32">
              <w:rPr>
                <w:rStyle w:val="Hipervnculo"/>
                <w:rFonts w:cs="Arial"/>
                <w:noProof/>
              </w:rPr>
              <w:t>Capítulo 5.</w:t>
            </w:r>
            <w:r w:rsidR="001D1BD2">
              <w:rPr>
                <w:noProof/>
                <w:webHidden/>
              </w:rPr>
              <w:tab/>
            </w:r>
            <w:r w:rsidR="001D1BD2">
              <w:rPr>
                <w:noProof/>
                <w:webHidden/>
              </w:rPr>
              <w:fldChar w:fldCharType="begin"/>
            </w:r>
            <w:r w:rsidR="001D1BD2">
              <w:rPr>
                <w:noProof/>
                <w:webHidden/>
              </w:rPr>
              <w:instrText xml:space="preserve"> PAGEREF _Toc169624682 \h </w:instrText>
            </w:r>
            <w:r w:rsidR="001D1BD2">
              <w:rPr>
                <w:noProof/>
                <w:webHidden/>
              </w:rPr>
            </w:r>
            <w:r w:rsidR="001D1BD2">
              <w:rPr>
                <w:noProof/>
                <w:webHidden/>
              </w:rPr>
              <w:fldChar w:fldCharType="separate"/>
            </w:r>
            <w:r w:rsidR="001D1BD2">
              <w:rPr>
                <w:noProof/>
                <w:webHidden/>
              </w:rPr>
              <w:t>86</w:t>
            </w:r>
            <w:r w:rsidR="001D1BD2">
              <w:rPr>
                <w:noProof/>
                <w:webHidden/>
              </w:rPr>
              <w:fldChar w:fldCharType="end"/>
            </w:r>
          </w:hyperlink>
        </w:p>
        <w:p w14:paraId="17060F8E" w14:textId="3913EE63" w:rsidR="001D1BD2" w:rsidRDefault="00000000">
          <w:pPr>
            <w:pStyle w:val="TDC1"/>
            <w:rPr>
              <w:rFonts w:asciiTheme="minorHAnsi" w:eastAsiaTheme="minorEastAsia" w:hAnsiTheme="minorHAnsi"/>
              <w:noProof/>
              <w:kern w:val="2"/>
              <w:sz w:val="24"/>
              <w:szCs w:val="24"/>
              <w:lang w:val="es-419" w:eastAsia="es-419"/>
              <w14:ligatures w14:val="standardContextual"/>
            </w:rPr>
          </w:pPr>
          <w:hyperlink w:anchor="_Toc169624683" w:history="1">
            <w:r w:rsidR="001D1BD2" w:rsidRPr="00552E32">
              <w:rPr>
                <w:rStyle w:val="Hipervnculo"/>
                <w:rFonts w:cs="Arial"/>
                <w:noProof/>
              </w:rPr>
              <w:t>Directores, personal gerencial y empleados</w:t>
            </w:r>
            <w:r w:rsidR="001D1BD2">
              <w:rPr>
                <w:noProof/>
                <w:webHidden/>
              </w:rPr>
              <w:tab/>
            </w:r>
            <w:r w:rsidR="001D1BD2">
              <w:rPr>
                <w:noProof/>
                <w:webHidden/>
              </w:rPr>
              <w:fldChar w:fldCharType="begin"/>
            </w:r>
            <w:r w:rsidR="001D1BD2">
              <w:rPr>
                <w:noProof/>
                <w:webHidden/>
              </w:rPr>
              <w:instrText xml:space="preserve"> PAGEREF _Toc169624683 \h </w:instrText>
            </w:r>
            <w:r w:rsidR="001D1BD2">
              <w:rPr>
                <w:noProof/>
                <w:webHidden/>
              </w:rPr>
            </w:r>
            <w:r w:rsidR="001D1BD2">
              <w:rPr>
                <w:noProof/>
                <w:webHidden/>
              </w:rPr>
              <w:fldChar w:fldCharType="separate"/>
            </w:r>
            <w:r w:rsidR="001D1BD2">
              <w:rPr>
                <w:noProof/>
                <w:webHidden/>
              </w:rPr>
              <w:t>86</w:t>
            </w:r>
            <w:r w:rsidR="001D1BD2">
              <w:rPr>
                <w:noProof/>
                <w:webHidden/>
              </w:rPr>
              <w:fldChar w:fldCharType="end"/>
            </w:r>
          </w:hyperlink>
        </w:p>
        <w:p w14:paraId="5E8F7148" w14:textId="4918A1F7"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84" w:history="1">
            <w:r w:rsidR="001D1BD2" w:rsidRPr="00552E32">
              <w:rPr>
                <w:rStyle w:val="Hipervnculo"/>
                <w:rFonts w:cs="Arial"/>
                <w:noProof/>
              </w:rPr>
              <w:t>1.</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Personal Gerencial</w:t>
            </w:r>
            <w:r w:rsidR="001D1BD2">
              <w:rPr>
                <w:noProof/>
                <w:webHidden/>
              </w:rPr>
              <w:tab/>
            </w:r>
            <w:r w:rsidR="001D1BD2">
              <w:rPr>
                <w:noProof/>
                <w:webHidden/>
              </w:rPr>
              <w:fldChar w:fldCharType="begin"/>
            </w:r>
            <w:r w:rsidR="001D1BD2">
              <w:rPr>
                <w:noProof/>
                <w:webHidden/>
              </w:rPr>
              <w:instrText xml:space="preserve"> PAGEREF _Toc169624684 \h </w:instrText>
            </w:r>
            <w:r w:rsidR="001D1BD2">
              <w:rPr>
                <w:noProof/>
                <w:webHidden/>
              </w:rPr>
            </w:r>
            <w:r w:rsidR="001D1BD2">
              <w:rPr>
                <w:noProof/>
                <w:webHidden/>
              </w:rPr>
              <w:fldChar w:fldCharType="separate"/>
            </w:r>
            <w:r w:rsidR="001D1BD2">
              <w:rPr>
                <w:noProof/>
                <w:webHidden/>
              </w:rPr>
              <w:t>88</w:t>
            </w:r>
            <w:r w:rsidR="001D1BD2">
              <w:rPr>
                <w:noProof/>
                <w:webHidden/>
              </w:rPr>
              <w:fldChar w:fldCharType="end"/>
            </w:r>
          </w:hyperlink>
        </w:p>
        <w:p w14:paraId="3FF9C7EC" w14:textId="592A4043" w:rsidR="001D1BD2" w:rsidRDefault="00000000">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85" w:history="1">
            <w:r w:rsidR="001D1BD2" w:rsidRPr="00552E32">
              <w:rPr>
                <w:rStyle w:val="Hipervnculo"/>
                <w:rFonts w:cs="Arial"/>
                <w:noProof/>
              </w:rPr>
              <w:t>1.1.</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Representación Judicial y Extrajudicial</w:t>
            </w:r>
            <w:r w:rsidR="001D1BD2">
              <w:rPr>
                <w:noProof/>
                <w:webHidden/>
              </w:rPr>
              <w:tab/>
            </w:r>
            <w:r w:rsidR="001D1BD2">
              <w:rPr>
                <w:noProof/>
                <w:webHidden/>
              </w:rPr>
              <w:fldChar w:fldCharType="begin"/>
            </w:r>
            <w:r w:rsidR="001D1BD2">
              <w:rPr>
                <w:noProof/>
                <w:webHidden/>
              </w:rPr>
              <w:instrText xml:space="preserve"> PAGEREF _Toc169624685 \h </w:instrText>
            </w:r>
            <w:r w:rsidR="001D1BD2">
              <w:rPr>
                <w:noProof/>
                <w:webHidden/>
              </w:rPr>
            </w:r>
            <w:r w:rsidR="001D1BD2">
              <w:rPr>
                <w:noProof/>
                <w:webHidden/>
              </w:rPr>
              <w:fldChar w:fldCharType="separate"/>
            </w:r>
            <w:r w:rsidR="001D1BD2">
              <w:rPr>
                <w:noProof/>
                <w:webHidden/>
              </w:rPr>
              <w:t>91</w:t>
            </w:r>
            <w:r w:rsidR="001D1BD2">
              <w:rPr>
                <w:noProof/>
                <w:webHidden/>
              </w:rPr>
              <w:fldChar w:fldCharType="end"/>
            </w:r>
          </w:hyperlink>
        </w:p>
        <w:p w14:paraId="6C7790BC" w14:textId="65FF05B3"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86" w:history="1">
            <w:r w:rsidR="001D1BD2" w:rsidRPr="00552E32">
              <w:rPr>
                <w:rStyle w:val="Hipervnculo"/>
                <w:rFonts w:cs="Arial"/>
                <w:noProof/>
              </w:rPr>
              <w:t>2.</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Políticas generales de compensación de los directores y personal gerencial</w:t>
            </w:r>
            <w:r w:rsidR="001D1BD2">
              <w:rPr>
                <w:noProof/>
                <w:webHidden/>
              </w:rPr>
              <w:tab/>
            </w:r>
            <w:r w:rsidR="001D1BD2">
              <w:rPr>
                <w:noProof/>
                <w:webHidden/>
              </w:rPr>
              <w:fldChar w:fldCharType="begin"/>
            </w:r>
            <w:r w:rsidR="001D1BD2">
              <w:rPr>
                <w:noProof/>
                <w:webHidden/>
              </w:rPr>
              <w:instrText xml:space="preserve"> PAGEREF _Toc169624686 \h </w:instrText>
            </w:r>
            <w:r w:rsidR="001D1BD2">
              <w:rPr>
                <w:noProof/>
                <w:webHidden/>
              </w:rPr>
            </w:r>
            <w:r w:rsidR="001D1BD2">
              <w:rPr>
                <w:noProof/>
                <w:webHidden/>
              </w:rPr>
              <w:fldChar w:fldCharType="separate"/>
            </w:r>
            <w:r w:rsidR="001D1BD2">
              <w:rPr>
                <w:noProof/>
                <w:webHidden/>
              </w:rPr>
              <w:t>91</w:t>
            </w:r>
            <w:r w:rsidR="001D1BD2">
              <w:rPr>
                <w:noProof/>
                <w:webHidden/>
              </w:rPr>
              <w:fldChar w:fldCharType="end"/>
            </w:r>
          </w:hyperlink>
        </w:p>
        <w:p w14:paraId="41F85AA2" w14:textId="0C98E6AA"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87" w:history="1">
            <w:r w:rsidR="001D1BD2" w:rsidRPr="00552E32">
              <w:rPr>
                <w:rStyle w:val="Hipervnculo"/>
                <w:rFonts w:cs="Arial"/>
                <w:noProof/>
              </w:rPr>
              <w:t>3.</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Personal</w:t>
            </w:r>
            <w:r w:rsidR="001D1BD2">
              <w:rPr>
                <w:noProof/>
                <w:webHidden/>
              </w:rPr>
              <w:tab/>
            </w:r>
            <w:r w:rsidR="001D1BD2">
              <w:rPr>
                <w:noProof/>
                <w:webHidden/>
              </w:rPr>
              <w:fldChar w:fldCharType="begin"/>
            </w:r>
            <w:r w:rsidR="001D1BD2">
              <w:rPr>
                <w:noProof/>
                <w:webHidden/>
              </w:rPr>
              <w:instrText xml:space="preserve"> PAGEREF _Toc169624687 \h </w:instrText>
            </w:r>
            <w:r w:rsidR="001D1BD2">
              <w:rPr>
                <w:noProof/>
                <w:webHidden/>
              </w:rPr>
            </w:r>
            <w:r w:rsidR="001D1BD2">
              <w:rPr>
                <w:noProof/>
                <w:webHidden/>
              </w:rPr>
              <w:fldChar w:fldCharType="separate"/>
            </w:r>
            <w:r w:rsidR="001D1BD2">
              <w:rPr>
                <w:noProof/>
                <w:webHidden/>
              </w:rPr>
              <w:t>92</w:t>
            </w:r>
            <w:r w:rsidR="001D1BD2">
              <w:rPr>
                <w:noProof/>
                <w:webHidden/>
              </w:rPr>
              <w:fldChar w:fldCharType="end"/>
            </w:r>
          </w:hyperlink>
        </w:p>
        <w:p w14:paraId="6FB9C6B3" w14:textId="4127F22F"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88" w:history="1">
            <w:r w:rsidR="001D1BD2" w:rsidRPr="00552E32">
              <w:rPr>
                <w:rStyle w:val="Hipervnculo"/>
                <w:rFonts w:cs="Arial"/>
                <w:noProof/>
              </w:rPr>
              <w:t>4.</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Participación social de directores, personal gerencial y empleados</w:t>
            </w:r>
            <w:r w:rsidR="001D1BD2">
              <w:rPr>
                <w:noProof/>
                <w:webHidden/>
              </w:rPr>
              <w:tab/>
            </w:r>
            <w:r w:rsidR="001D1BD2">
              <w:rPr>
                <w:noProof/>
                <w:webHidden/>
              </w:rPr>
              <w:fldChar w:fldCharType="begin"/>
            </w:r>
            <w:r w:rsidR="001D1BD2">
              <w:rPr>
                <w:noProof/>
                <w:webHidden/>
              </w:rPr>
              <w:instrText xml:space="preserve"> PAGEREF _Toc169624688 \h </w:instrText>
            </w:r>
            <w:r w:rsidR="001D1BD2">
              <w:rPr>
                <w:noProof/>
                <w:webHidden/>
              </w:rPr>
            </w:r>
            <w:r w:rsidR="001D1BD2">
              <w:rPr>
                <w:noProof/>
                <w:webHidden/>
              </w:rPr>
              <w:fldChar w:fldCharType="separate"/>
            </w:r>
            <w:r w:rsidR="001D1BD2">
              <w:rPr>
                <w:noProof/>
                <w:webHidden/>
              </w:rPr>
              <w:t>93</w:t>
            </w:r>
            <w:r w:rsidR="001D1BD2">
              <w:rPr>
                <w:noProof/>
                <w:webHidden/>
              </w:rPr>
              <w:fldChar w:fldCharType="end"/>
            </w:r>
          </w:hyperlink>
        </w:p>
        <w:p w14:paraId="4508B6AA" w14:textId="4F58C37C" w:rsidR="001D1BD2" w:rsidRDefault="00000000">
          <w:pPr>
            <w:pStyle w:val="TDC1"/>
            <w:rPr>
              <w:rFonts w:asciiTheme="minorHAnsi" w:eastAsiaTheme="minorEastAsia" w:hAnsiTheme="minorHAnsi"/>
              <w:noProof/>
              <w:kern w:val="2"/>
              <w:sz w:val="24"/>
              <w:szCs w:val="24"/>
              <w:lang w:val="es-419" w:eastAsia="es-419"/>
              <w14:ligatures w14:val="standardContextual"/>
            </w:rPr>
          </w:pPr>
          <w:hyperlink w:anchor="_Toc169624689" w:history="1">
            <w:r w:rsidR="001D1BD2" w:rsidRPr="00552E32">
              <w:rPr>
                <w:rStyle w:val="Hipervnculo"/>
                <w:rFonts w:cs="Arial"/>
                <w:noProof/>
              </w:rPr>
              <w:t>Capítulo 6.</w:t>
            </w:r>
            <w:r w:rsidR="001D1BD2">
              <w:rPr>
                <w:noProof/>
                <w:webHidden/>
              </w:rPr>
              <w:tab/>
            </w:r>
            <w:r w:rsidR="001D1BD2">
              <w:rPr>
                <w:noProof/>
                <w:webHidden/>
              </w:rPr>
              <w:fldChar w:fldCharType="begin"/>
            </w:r>
            <w:r w:rsidR="001D1BD2">
              <w:rPr>
                <w:noProof/>
                <w:webHidden/>
              </w:rPr>
              <w:instrText xml:space="preserve"> PAGEREF _Toc169624689 \h </w:instrText>
            </w:r>
            <w:r w:rsidR="001D1BD2">
              <w:rPr>
                <w:noProof/>
                <w:webHidden/>
              </w:rPr>
            </w:r>
            <w:r w:rsidR="001D1BD2">
              <w:rPr>
                <w:noProof/>
                <w:webHidden/>
              </w:rPr>
              <w:fldChar w:fldCharType="separate"/>
            </w:r>
            <w:r w:rsidR="001D1BD2">
              <w:rPr>
                <w:noProof/>
                <w:webHidden/>
              </w:rPr>
              <w:t>94</w:t>
            </w:r>
            <w:r w:rsidR="001D1BD2">
              <w:rPr>
                <w:noProof/>
                <w:webHidden/>
              </w:rPr>
              <w:fldChar w:fldCharType="end"/>
            </w:r>
          </w:hyperlink>
        </w:p>
        <w:p w14:paraId="7A54787D" w14:textId="13297083" w:rsidR="001D1BD2" w:rsidRDefault="00000000">
          <w:pPr>
            <w:pStyle w:val="TDC1"/>
            <w:rPr>
              <w:rFonts w:asciiTheme="minorHAnsi" w:eastAsiaTheme="minorEastAsia" w:hAnsiTheme="minorHAnsi"/>
              <w:noProof/>
              <w:kern w:val="2"/>
              <w:sz w:val="24"/>
              <w:szCs w:val="24"/>
              <w:lang w:val="es-419" w:eastAsia="es-419"/>
              <w14:ligatures w14:val="standardContextual"/>
            </w:rPr>
          </w:pPr>
          <w:hyperlink w:anchor="_Toc169624690" w:history="1">
            <w:r w:rsidR="001D1BD2" w:rsidRPr="00552E32">
              <w:rPr>
                <w:rStyle w:val="Hipervnculo"/>
                <w:rFonts w:cs="Arial"/>
                <w:noProof/>
              </w:rPr>
              <w:t>Participaciones significativas y transacciones con partes relacionadas</w:t>
            </w:r>
            <w:r w:rsidR="001D1BD2">
              <w:rPr>
                <w:noProof/>
                <w:webHidden/>
              </w:rPr>
              <w:tab/>
            </w:r>
            <w:r w:rsidR="001D1BD2">
              <w:rPr>
                <w:noProof/>
                <w:webHidden/>
              </w:rPr>
              <w:fldChar w:fldCharType="begin"/>
            </w:r>
            <w:r w:rsidR="001D1BD2">
              <w:rPr>
                <w:noProof/>
                <w:webHidden/>
              </w:rPr>
              <w:instrText xml:space="preserve"> PAGEREF _Toc169624690 \h </w:instrText>
            </w:r>
            <w:r w:rsidR="001D1BD2">
              <w:rPr>
                <w:noProof/>
                <w:webHidden/>
              </w:rPr>
            </w:r>
            <w:r w:rsidR="001D1BD2">
              <w:rPr>
                <w:noProof/>
                <w:webHidden/>
              </w:rPr>
              <w:fldChar w:fldCharType="separate"/>
            </w:r>
            <w:r w:rsidR="001D1BD2">
              <w:rPr>
                <w:noProof/>
                <w:webHidden/>
              </w:rPr>
              <w:t>94</w:t>
            </w:r>
            <w:r w:rsidR="001D1BD2">
              <w:rPr>
                <w:noProof/>
                <w:webHidden/>
              </w:rPr>
              <w:fldChar w:fldCharType="end"/>
            </w:r>
          </w:hyperlink>
        </w:p>
        <w:p w14:paraId="159F405C" w14:textId="59354C18"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91" w:history="1">
            <w:r w:rsidR="001D1BD2" w:rsidRPr="00552E32">
              <w:rPr>
                <w:rStyle w:val="Hipervnculo"/>
                <w:rFonts w:cs="Arial"/>
                <w:noProof/>
              </w:rPr>
              <w:t>1.</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Participaciones significativas</w:t>
            </w:r>
            <w:r w:rsidR="001D1BD2">
              <w:rPr>
                <w:noProof/>
                <w:webHidden/>
              </w:rPr>
              <w:tab/>
            </w:r>
            <w:r w:rsidR="001D1BD2">
              <w:rPr>
                <w:noProof/>
                <w:webHidden/>
              </w:rPr>
              <w:fldChar w:fldCharType="begin"/>
            </w:r>
            <w:r w:rsidR="001D1BD2">
              <w:rPr>
                <w:noProof/>
                <w:webHidden/>
              </w:rPr>
              <w:instrText xml:space="preserve"> PAGEREF _Toc169624691 \h </w:instrText>
            </w:r>
            <w:r w:rsidR="001D1BD2">
              <w:rPr>
                <w:noProof/>
                <w:webHidden/>
              </w:rPr>
            </w:r>
            <w:r w:rsidR="001D1BD2">
              <w:rPr>
                <w:noProof/>
                <w:webHidden/>
              </w:rPr>
              <w:fldChar w:fldCharType="separate"/>
            </w:r>
            <w:r w:rsidR="001D1BD2">
              <w:rPr>
                <w:noProof/>
                <w:webHidden/>
              </w:rPr>
              <w:t>95</w:t>
            </w:r>
            <w:r w:rsidR="001D1BD2">
              <w:rPr>
                <w:noProof/>
                <w:webHidden/>
              </w:rPr>
              <w:fldChar w:fldCharType="end"/>
            </w:r>
          </w:hyperlink>
        </w:p>
        <w:p w14:paraId="1974C119" w14:textId="26E0BA5F"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92" w:history="1">
            <w:r w:rsidR="001D1BD2" w:rsidRPr="00552E32">
              <w:rPr>
                <w:rStyle w:val="Hipervnculo"/>
                <w:rFonts w:cs="Arial"/>
                <w:noProof/>
              </w:rPr>
              <w:t>2.</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Transacciones con partes relacionadas</w:t>
            </w:r>
            <w:r w:rsidR="001D1BD2">
              <w:rPr>
                <w:noProof/>
                <w:webHidden/>
              </w:rPr>
              <w:tab/>
            </w:r>
            <w:r w:rsidR="001D1BD2">
              <w:rPr>
                <w:noProof/>
                <w:webHidden/>
              </w:rPr>
              <w:fldChar w:fldCharType="begin"/>
            </w:r>
            <w:r w:rsidR="001D1BD2">
              <w:rPr>
                <w:noProof/>
                <w:webHidden/>
              </w:rPr>
              <w:instrText xml:space="preserve"> PAGEREF _Toc169624692 \h </w:instrText>
            </w:r>
            <w:r w:rsidR="001D1BD2">
              <w:rPr>
                <w:noProof/>
                <w:webHidden/>
              </w:rPr>
            </w:r>
            <w:r w:rsidR="001D1BD2">
              <w:rPr>
                <w:noProof/>
                <w:webHidden/>
              </w:rPr>
              <w:fldChar w:fldCharType="separate"/>
            </w:r>
            <w:r w:rsidR="001D1BD2">
              <w:rPr>
                <w:noProof/>
                <w:webHidden/>
              </w:rPr>
              <w:t>95</w:t>
            </w:r>
            <w:r w:rsidR="001D1BD2">
              <w:rPr>
                <w:noProof/>
                <w:webHidden/>
              </w:rPr>
              <w:fldChar w:fldCharType="end"/>
            </w:r>
          </w:hyperlink>
        </w:p>
        <w:p w14:paraId="2F208DFC" w14:textId="09575779" w:rsidR="001D1BD2" w:rsidRDefault="00000000">
          <w:pPr>
            <w:pStyle w:val="TDC1"/>
            <w:rPr>
              <w:rFonts w:asciiTheme="minorHAnsi" w:eastAsiaTheme="minorEastAsia" w:hAnsiTheme="minorHAnsi"/>
              <w:noProof/>
              <w:kern w:val="2"/>
              <w:sz w:val="24"/>
              <w:szCs w:val="24"/>
              <w:lang w:val="es-419" w:eastAsia="es-419"/>
              <w14:ligatures w14:val="standardContextual"/>
            </w:rPr>
          </w:pPr>
          <w:hyperlink w:anchor="_Toc169624693" w:history="1">
            <w:r w:rsidR="001D1BD2" w:rsidRPr="00552E32">
              <w:rPr>
                <w:rStyle w:val="Hipervnculo"/>
                <w:rFonts w:cs="Arial"/>
                <w:noProof/>
              </w:rPr>
              <w:t>Capítulo 7.</w:t>
            </w:r>
            <w:r w:rsidR="001D1BD2">
              <w:rPr>
                <w:noProof/>
                <w:webHidden/>
              </w:rPr>
              <w:tab/>
            </w:r>
            <w:r w:rsidR="001D1BD2">
              <w:rPr>
                <w:noProof/>
                <w:webHidden/>
              </w:rPr>
              <w:fldChar w:fldCharType="begin"/>
            </w:r>
            <w:r w:rsidR="001D1BD2">
              <w:rPr>
                <w:noProof/>
                <w:webHidden/>
              </w:rPr>
              <w:instrText xml:space="preserve"> PAGEREF _Toc169624693 \h </w:instrText>
            </w:r>
            <w:r w:rsidR="001D1BD2">
              <w:rPr>
                <w:noProof/>
                <w:webHidden/>
              </w:rPr>
            </w:r>
            <w:r w:rsidR="001D1BD2">
              <w:rPr>
                <w:noProof/>
                <w:webHidden/>
              </w:rPr>
              <w:fldChar w:fldCharType="separate"/>
            </w:r>
            <w:r w:rsidR="001D1BD2">
              <w:rPr>
                <w:noProof/>
                <w:webHidden/>
              </w:rPr>
              <w:t>97</w:t>
            </w:r>
            <w:r w:rsidR="001D1BD2">
              <w:rPr>
                <w:noProof/>
                <w:webHidden/>
              </w:rPr>
              <w:fldChar w:fldCharType="end"/>
            </w:r>
          </w:hyperlink>
        </w:p>
        <w:p w14:paraId="0EF3D557" w14:textId="08950BBF" w:rsidR="001D1BD2" w:rsidRDefault="00000000">
          <w:pPr>
            <w:pStyle w:val="TDC1"/>
            <w:rPr>
              <w:rFonts w:asciiTheme="minorHAnsi" w:eastAsiaTheme="minorEastAsia" w:hAnsiTheme="minorHAnsi"/>
              <w:noProof/>
              <w:kern w:val="2"/>
              <w:sz w:val="24"/>
              <w:szCs w:val="24"/>
              <w:lang w:val="es-419" w:eastAsia="es-419"/>
              <w14:ligatures w14:val="standardContextual"/>
            </w:rPr>
          </w:pPr>
          <w:hyperlink w:anchor="_Toc169624694" w:history="1">
            <w:r w:rsidR="001D1BD2" w:rsidRPr="00552E32">
              <w:rPr>
                <w:rStyle w:val="Hipervnculo"/>
                <w:rFonts w:cs="Arial"/>
                <w:noProof/>
              </w:rPr>
              <w:t>Información financiera</w:t>
            </w:r>
            <w:r w:rsidR="001D1BD2">
              <w:rPr>
                <w:noProof/>
                <w:webHidden/>
              </w:rPr>
              <w:tab/>
            </w:r>
            <w:r w:rsidR="001D1BD2">
              <w:rPr>
                <w:noProof/>
                <w:webHidden/>
              </w:rPr>
              <w:fldChar w:fldCharType="begin"/>
            </w:r>
            <w:r w:rsidR="001D1BD2">
              <w:rPr>
                <w:noProof/>
                <w:webHidden/>
              </w:rPr>
              <w:instrText xml:space="preserve"> PAGEREF _Toc169624694 \h </w:instrText>
            </w:r>
            <w:r w:rsidR="001D1BD2">
              <w:rPr>
                <w:noProof/>
                <w:webHidden/>
              </w:rPr>
            </w:r>
            <w:r w:rsidR="001D1BD2">
              <w:rPr>
                <w:noProof/>
                <w:webHidden/>
              </w:rPr>
              <w:fldChar w:fldCharType="separate"/>
            </w:r>
            <w:r w:rsidR="001D1BD2">
              <w:rPr>
                <w:noProof/>
                <w:webHidden/>
              </w:rPr>
              <w:t>97</w:t>
            </w:r>
            <w:r w:rsidR="001D1BD2">
              <w:rPr>
                <w:noProof/>
                <w:webHidden/>
              </w:rPr>
              <w:fldChar w:fldCharType="end"/>
            </w:r>
          </w:hyperlink>
        </w:p>
        <w:p w14:paraId="3B4C2773" w14:textId="502DAE62"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95" w:history="1">
            <w:r w:rsidR="001D1BD2" w:rsidRPr="00552E32">
              <w:rPr>
                <w:rStyle w:val="Hipervnculo"/>
                <w:rFonts w:cs="Arial"/>
                <w:noProof/>
              </w:rPr>
              <w:t>1.</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Anexos al prospecto</w:t>
            </w:r>
            <w:r w:rsidR="001D1BD2">
              <w:rPr>
                <w:noProof/>
                <w:webHidden/>
              </w:rPr>
              <w:tab/>
            </w:r>
            <w:r w:rsidR="001D1BD2">
              <w:rPr>
                <w:noProof/>
                <w:webHidden/>
              </w:rPr>
              <w:fldChar w:fldCharType="begin"/>
            </w:r>
            <w:r w:rsidR="001D1BD2">
              <w:rPr>
                <w:noProof/>
                <w:webHidden/>
              </w:rPr>
              <w:instrText xml:space="preserve"> PAGEREF _Toc169624695 \h </w:instrText>
            </w:r>
            <w:r w:rsidR="001D1BD2">
              <w:rPr>
                <w:noProof/>
                <w:webHidden/>
              </w:rPr>
            </w:r>
            <w:r w:rsidR="001D1BD2">
              <w:rPr>
                <w:noProof/>
                <w:webHidden/>
              </w:rPr>
              <w:fldChar w:fldCharType="separate"/>
            </w:r>
            <w:r w:rsidR="001D1BD2">
              <w:rPr>
                <w:noProof/>
                <w:webHidden/>
              </w:rPr>
              <w:t>98</w:t>
            </w:r>
            <w:r w:rsidR="001D1BD2">
              <w:rPr>
                <w:noProof/>
                <w:webHidden/>
              </w:rPr>
              <w:fldChar w:fldCharType="end"/>
            </w:r>
          </w:hyperlink>
        </w:p>
        <w:p w14:paraId="73922D22" w14:textId="3245DE7B" w:rsidR="001D1BD2" w:rsidRDefault="00000000">
          <w:pPr>
            <w:pStyle w:val="TDC2"/>
            <w:rPr>
              <w:rFonts w:asciiTheme="minorHAnsi" w:eastAsiaTheme="minorEastAsia" w:hAnsiTheme="minorHAnsi"/>
              <w:noProof/>
              <w:kern w:val="2"/>
              <w:sz w:val="24"/>
              <w:szCs w:val="24"/>
              <w:lang w:val="es-419" w:eastAsia="es-419"/>
              <w14:ligatures w14:val="standardContextual"/>
            </w:rPr>
          </w:pPr>
          <w:hyperlink w:anchor="_Toc169624696" w:history="1">
            <w:r w:rsidR="001D1BD2" w:rsidRPr="00552E32">
              <w:rPr>
                <w:rStyle w:val="Hipervnculo"/>
                <w:rFonts w:cs="Arial"/>
                <w:noProof/>
              </w:rPr>
              <w:t>2.</w:t>
            </w:r>
            <w:r w:rsidR="001D1BD2">
              <w:rPr>
                <w:rFonts w:asciiTheme="minorHAnsi" w:eastAsiaTheme="minorEastAsia" w:hAnsiTheme="minorHAnsi"/>
                <w:noProof/>
                <w:kern w:val="2"/>
                <w:sz w:val="24"/>
                <w:szCs w:val="24"/>
                <w:lang w:val="es-419" w:eastAsia="es-419"/>
                <w14:ligatures w14:val="standardContextual"/>
              </w:rPr>
              <w:tab/>
            </w:r>
            <w:r w:rsidR="001D1BD2" w:rsidRPr="00552E32">
              <w:rPr>
                <w:rStyle w:val="Hipervnculo"/>
                <w:rFonts w:cs="Arial"/>
                <w:noProof/>
              </w:rPr>
              <w:t>Periodicidad de la información a los inversionistas</w:t>
            </w:r>
            <w:r w:rsidR="001D1BD2">
              <w:rPr>
                <w:noProof/>
                <w:webHidden/>
              </w:rPr>
              <w:tab/>
            </w:r>
            <w:r w:rsidR="001D1BD2">
              <w:rPr>
                <w:noProof/>
                <w:webHidden/>
              </w:rPr>
              <w:fldChar w:fldCharType="begin"/>
            </w:r>
            <w:r w:rsidR="001D1BD2">
              <w:rPr>
                <w:noProof/>
                <w:webHidden/>
              </w:rPr>
              <w:instrText xml:space="preserve"> PAGEREF _Toc169624696 \h </w:instrText>
            </w:r>
            <w:r w:rsidR="001D1BD2">
              <w:rPr>
                <w:noProof/>
                <w:webHidden/>
              </w:rPr>
            </w:r>
            <w:r w:rsidR="001D1BD2">
              <w:rPr>
                <w:noProof/>
                <w:webHidden/>
              </w:rPr>
              <w:fldChar w:fldCharType="separate"/>
            </w:r>
            <w:r w:rsidR="001D1BD2">
              <w:rPr>
                <w:noProof/>
                <w:webHidden/>
              </w:rPr>
              <w:t>98</w:t>
            </w:r>
            <w:r w:rsidR="001D1BD2">
              <w:rPr>
                <w:noProof/>
                <w:webHidden/>
              </w:rPr>
              <w:fldChar w:fldCharType="end"/>
            </w:r>
          </w:hyperlink>
        </w:p>
        <w:p w14:paraId="54DC1D0E" w14:textId="49DA60B2" w:rsidR="001B7CBC" w:rsidRPr="00382A62" w:rsidRDefault="00514750" w:rsidP="00F63EFA">
          <w:pPr>
            <w:spacing w:line="240" w:lineRule="auto"/>
            <w:rPr>
              <w:rFonts w:cs="Arial"/>
              <w:szCs w:val="20"/>
            </w:rPr>
          </w:pPr>
          <w:r w:rsidRPr="00382A62">
            <w:rPr>
              <w:rFonts w:cs="Arial"/>
              <w:b/>
              <w:bCs/>
              <w:szCs w:val="20"/>
            </w:rPr>
            <w:fldChar w:fldCharType="end"/>
          </w:r>
        </w:p>
      </w:sdtContent>
    </w:sdt>
    <w:p w14:paraId="1B537915" w14:textId="77777777" w:rsidR="00206E9F" w:rsidRPr="00382A62" w:rsidRDefault="00206E9F" w:rsidP="00430215">
      <w:pPr>
        <w:pStyle w:val="Ttulo2"/>
        <w:rPr>
          <w:rFonts w:cs="Arial"/>
          <w:sz w:val="20"/>
          <w:szCs w:val="20"/>
        </w:rPr>
      </w:pPr>
      <w:bookmarkStart w:id="10" w:name="_Toc131501055"/>
      <w:bookmarkStart w:id="11" w:name="_Toc169624614"/>
      <w:r w:rsidRPr="00382A62">
        <w:rPr>
          <w:rFonts w:cs="Arial"/>
          <w:sz w:val="20"/>
          <w:szCs w:val="20"/>
        </w:rPr>
        <w:t>Índice de Cuadros</w:t>
      </w:r>
      <w:bookmarkEnd w:id="10"/>
      <w:bookmarkEnd w:id="11"/>
    </w:p>
    <w:p w14:paraId="652DB66A" w14:textId="39479EB7" w:rsidR="001D1BD2" w:rsidRDefault="00206E9F">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r w:rsidRPr="00382A62">
        <w:rPr>
          <w:rFonts w:cs="Arial"/>
          <w:szCs w:val="20"/>
        </w:rPr>
        <w:fldChar w:fldCharType="begin"/>
      </w:r>
      <w:r w:rsidRPr="00382A62">
        <w:rPr>
          <w:rFonts w:cs="Arial"/>
          <w:szCs w:val="20"/>
        </w:rPr>
        <w:instrText xml:space="preserve"> TOC \h \z \c "Tabla" </w:instrText>
      </w:r>
      <w:r w:rsidRPr="00382A62">
        <w:rPr>
          <w:rFonts w:cs="Arial"/>
          <w:szCs w:val="20"/>
        </w:rPr>
        <w:fldChar w:fldCharType="separate"/>
      </w:r>
      <w:hyperlink w:anchor="_Toc169624697" w:history="1">
        <w:r w:rsidR="001D1BD2" w:rsidRPr="006F10D6">
          <w:rPr>
            <w:rStyle w:val="Hipervnculo"/>
            <w:rFonts w:cs="Arial"/>
            <w:noProof/>
          </w:rPr>
          <w:t>Tabla 1 - Programas de Bonos Estandarizados Vigentes</w:t>
        </w:r>
        <w:r w:rsidR="001D1BD2">
          <w:rPr>
            <w:noProof/>
            <w:webHidden/>
          </w:rPr>
          <w:tab/>
        </w:r>
        <w:r w:rsidR="001D1BD2">
          <w:rPr>
            <w:noProof/>
            <w:webHidden/>
          </w:rPr>
          <w:fldChar w:fldCharType="begin"/>
        </w:r>
        <w:r w:rsidR="001D1BD2">
          <w:rPr>
            <w:noProof/>
            <w:webHidden/>
          </w:rPr>
          <w:instrText xml:space="preserve"> PAGEREF _Toc169624697 \h </w:instrText>
        </w:r>
        <w:r w:rsidR="001D1BD2">
          <w:rPr>
            <w:noProof/>
            <w:webHidden/>
          </w:rPr>
        </w:r>
        <w:r w:rsidR="001D1BD2">
          <w:rPr>
            <w:noProof/>
            <w:webHidden/>
          </w:rPr>
          <w:fldChar w:fldCharType="separate"/>
        </w:r>
        <w:r w:rsidR="001D1BD2">
          <w:rPr>
            <w:noProof/>
            <w:webHidden/>
          </w:rPr>
          <w:t>10</w:t>
        </w:r>
        <w:r w:rsidR="001D1BD2">
          <w:rPr>
            <w:noProof/>
            <w:webHidden/>
          </w:rPr>
          <w:fldChar w:fldCharType="end"/>
        </w:r>
      </w:hyperlink>
    </w:p>
    <w:p w14:paraId="25BBFE8A" w14:textId="0A1082A8"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98" w:history="1">
        <w:r w:rsidR="001D1BD2" w:rsidRPr="006F10D6">
          <w:rPr>
            <w:rStyle w:val="Hipervnculo"/>
            <w:rFonts w:cs="Arial"/>
            <w:noProof/>
          </w:rPr>
          <w:t>Tabla 2 - Emisión de Bonos Estandarizados Vigentes</w:t>
        </w:r>
        <w:r w:rsidR="001D1BD2">
          <w:rPr>
            <w:noProof/>
            <w:webHidden/>
          </w:rPr>
          <w:tab/>
        </w:r>
        <w:r w:rsidR="001D1BD2">
          <w:rPr>
            <w:noProof/>
            <w:webHidden/>
          </w:rPr>
          <w:fldChar w:fldCharType="begin"/>
        </w:r>
        <w:r w:rsidR="001D1BD2">
          <w:rPr>
            <w:noProof/>
            <w:webHidden/>
          </w:rPr>
          <w:instrText xml:space="preserve"> PAGEREF _Toc169624698 \h </w:instrText>
        </w:r>
        <w:r w:rsidR="001D1BD2">
          <w:rPr>
            <w:noProof/>
            <w:webHidden/>
          </w:rPr>
        </w:r>
        <w:r w:rsidR="001D1BD2">
          <w:rPr>
            <w:noProof/>
            <w:webHidden/>
          </w:rPr>
          <w:fldChar w:fldCharType="separate"/>
        </w:r>
        <w:r w:rsidR="001D1BD2">
          <w:rPr>
            <w:noProof/>
            <w:webHidden/>
          </w:rPr>
          <w:t>11</w:t>
        </w:r>
        <w:r w:rsidR="001D1BD2">
          <w:rPr>
            <w:noProof/>
            <w:webHidden/>
          </w:rPr>
          <w:fldChar w:fldCharType="end"/>
        </w:r>
      </w:hyperlink>
    </w:p>
    <w:p w14:paraId="3820BB8A" w14:textId="00230ED9"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99" w:history="1">
        <w:r w:rsidR="001D1BD2" w:rsidRPr="006F10D6">
          <w:rPr>
            <w:rStyle w:val="Hipervnculo"/>
            <w:rFonts w:cs="Arial"/>
            <w:noProof/>
          </w:rPr>
          <w:t>Tabla 3 - Valor de Mercado de las acciones al 31 de diciembre del año respectivo (1)</w:t>
        </w:r>
        <w:r w:rsidR="001D1BD2">
          <w:rPr>
            <w:noProof/>
            <w:webHidden/>
          </w:rPr>
          <w:tab/>
        </w:r>
        <w:r w:rsidR="001D1BD2">
          <w:rPr>
            <w:noProof/>
            <w:webHidden/>
          </w:rPr>
          <w:fldChar w:fldCharType="begin"/>
        </w:r>
        <w:r w:rsidR="001D1BD2">
          <w:rPr>
            <w:noProof/>
            <w:webHidden/>
          </w:rPr>
          <w:instrText xml:space="preserve"> PAGEREF _Toc169624699 \h </w:instrText>
        </w:r>
        <w:r w:rsidR="001D1BD2">
          <w:rPr>
            <w:noProof/>
            <w:webHidden/>
          </w:rPr>
        </w:r>
        <w:r w:rsidR="001D1BD2">
          <w:rPr>
            <w:noProof/>
            <w:webHidden/>
          </w:rPr>
          <w:fldChar w:fldCharType="separate"/>
        </w:r>
        <w:r w:rsidR="001D1BD2">
          <w:rPr>
            <w:noProof/>
            <w:webHidden/>
          </w:rPr>
          <w:t>20</w:t>
        </w:r>
        <w:r w:rsidR="001D1BD2">
          <w:rPr>
            <w:noProof/>
            <w:webHidden/>
          </w:rPr>
          <w:fldChar w:fldCharType="end"/>
        </w:r>
      </w:hyperlink>
    </w:p>
    <w:p w14:paraId="5AC77AF1" w14:textId="613174C5"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00" w:history="1">
        <w:r w:rsidR="001D1BD2" w:rsidRPr="006F10D6">
          <w:rPr>
            <w:rStyle w:val="Hipervnculo"/>
            <w:rFonts w:cs="Arial"/>
            <w:noProof/>
          </w:rPr>
          <w:t>Tabla 4 - Mecanismos de Recompra de Acciones</w:t>
        </w:r>
        <w:r w:rsidR="001D1BD2">
          <w:rPr>
            <w:noProof/>
            <w:webHidden/>
          </w:rPr>
          <w:tab/>
        </w:r>
        <w:r w:rsidR="001D1BD2">
          <w:rPr>
            <w:noProof/>
            <w:webHidden/>
          </w:rPr>
          <w:fldChar w:fldCharType="begin"/>
        </w:r>
        <w:r w:rsidR="001D1BD2">
          <w:rPr>
            <w:noProof/>
            <w:webHidden/>
          </w:rPr>
          <w:instrText xml:space="preserve"> PAGEREF _Toc169624700 \h </w:instrText>
        </w:r>
        <w:r w:rsidR="001D1BD2">
          <w:rPr>
            <w:noProof/>
            <w:webHidden/>
          </w:rPr>
        </w:r>
        <w:r w:rsidR="001D1BD2">
          <w:rPr>
            <w:noProof/>
            <w:webHidden/>
          </w:rPr>
          <w:fldChar w:fldCharType="separate"/>
        </w:r>
        <w:r w:rsidR="001D1BD2">
          <w:rPr>
            <w:noProof/>
            <w:webHidden/>
          </w:rPr>
          <w:t>23</w:t>
        </w:r>
        <w:r w:rsidR="001D1BD2">
          <w:rPr>
            <w:noProof/>
            <w:webHidden/>
          </w:rPr>
          <w:fldChar w:fldCharType="end"/>
        </w:r>
      </w:hyperlink>
    </w:p>
    <w:p w14:paraId="31C45947" w14:textId="35ECE7E9"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01" w:history="1">
        <w:r w:rsidR="001D1BD2" w:rsidRPr="006F10D6">
          <w:rPr>
            <w:rStyle w:val="Hipervnculo"/>
            <w:rFonts w:cs="Arial"/>
            <w:noProof/>
          </w:rPr>
          <w:t>Tabla 5 - funcionarios involucrados en el proceso de oferta pública</w:t>
        </w:r>
        <w:r w:rsidR="001D1BD2">
          <w:rPr>
            <w:noProof/>
            <w:webHidden/>
          </w:rPr>
          <w:tab/>
        </w:r>
        <w:r w:rsidR="001D1BD2">
          <w:rPr>
            <w:noProof/>
            <w:webHidden/>
          </w:rPr>
          <w:fldChar w:fldCharType="begin"/>
        </w:r>
        <w:r w:rsidR="001D1BD2">
          <w:rPr>
            <w:noProof/>
            <w:webHidden/>
          </w:rPr>
          <w:instrText xml:space="preserve"> PAGEREF _Toc169624701 \h </w:instrText>
        </w:r>
        <w:r w:rsidR="001D1BD2">
          <w:rPr>
            <w:noProof/>
            <w:webHidden/>
          </w:rPr>
        </w:r>
        <w:r w:rsidR="001D1BD2">
          <w:rPr>
            <w:noProof/>
            <w:webHidden/>
          </w:rPr>
          <w:fldChar w:fldCharType="separate"/>
        </w:r>
        <w:r w:rsidR="001D1BD2">
          <w:rPr>
            <w:noProof/>
            <w:webHidden/>
          </w:rPr>
          <w:t>23</w:t>
        </w:r>
        <w:r w:rsidR="001D1BD2">
          <w:rPr>
            <w:noProof/>
            <w:webHidden/>
          </w:rPr>
          <w:fldChar w:fldCharType="end"/>
        </w:r>
      </w:hyperlink>
    </w:p>
    <w:p w14:paraId="54A1B795" w14:textId="3591FC0E"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02" w:history="1">
        <w:r w:rsidR="001D1BD2" w:rsidRPr="006F10D6">
          <w:rPr>
            <w:rStyle w:val="Hipervnculo"/>
            <w:rFonts w:cs="Arial"/>
            <w:noProof/>
          </w:rPr>
          <w:t>Tabla 6 - Detalle de las pólizas de seguros, así como los montos asegurados – Costa Rica</w:t>
        </w:r>
        <w:r w:rsidR="001D1BD2">
          <w:rPr>
            <w:noProof/>
            <w:webHidden/>
          </w:rPr>
          <w:tab/>
        </w:r>
        <w:r w:rsidR="001D1BD2">
          <w:rPr>
            <w:noProof/>
            <w:webHidden/>
          </w:rPr>
          <w:fldChar w:fldCharType="begin"/>
        </w:r>
        <w:r w:rsidR="001D1BD2">
          <w:rPr>
            <w:noProof/>
            <w:webHidden/>
          </w:rPr>
          <w:instrText xml:space="preserve"> PAGEREF _Toc169624702 \h </w:instrText>
        </w:r>
        <w:r w:rsidR="001D1BD2">
          <w:rPr>
            <w:noProof/>
            <w:webHidden/>
          </w:rPr>
        </w:r>
        <w:r w:rsidR="001D1BD2">
          <w:rPr>
            <w:noProof/>
            <w:webHidden/>
          </w:rPr>
          <w:fldChar w:fldCharType="separate"/>
        </w:r>
        <w:r w:rsidR="001D1BD2">
          <w:rPr>
            <w:noProof/>
            <w:webHidden/>
          </w:rPr>
          <w:t>30</w:t>
        </w:r>
        <w:r w:rsidR="001D1BD2">
          <w:rPr>
            <w:noProof/>
            <w:webHidden/>
          </w:rPr>
          <w:fldChar w:fldCharType="end"/>
        </w:r>
      </w:hyperlink>
    </w:p>
    <w:p w14:paraId="5B0CB135" w14:textId="354D270A"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03" w:history="1">
        <w:r w:rsidR="001D1BD2" w:rsidRPr="006F10D6">
          <w:rPr>
            <w:rStyle w:val="Hipervnculo"/>
            <w:rFonts w:cs="Arial"/>
            <w:noProof/>
          </w:rPr>
          <w:t>Tabla 7 - Detalle de las pólizas de seguros, así como los montos asegurados – Guatemala</w:t>
        </w:r>
        <w:r w:rsidR="001D1BD2">
          <w:rPr>
            <w:noProof/>
            <w:webHidden/>
          </w:rPr>
          <w:tab/>
        </w:r>
        <w:r w:rsidR="001D1BD2">
          <w:rPr>
            <w:noProof/>
            <w:webHidden/>
          </w:rPr>
          <w:fldChar w:fldCharType="begin"/>
        </w:r>
        <w:r w:rsidR="001D1BD2">
          <w:rPr>
            <w:noProof/>
            <w:webHidden/>
          </w:rPr>
          <w:instrText xml:space="preserve"> PAGEREF _Toc169624703 \h </w:instrText>
        </w:r>
        <w:r w:rsidR="001D1BD2">
          <w:rPr>
            <w:noProof/>
            <w:webHidden/>
          </w:rPr>
        </w:r>
        <w:r w:rsidR="001D1BD2">
          <w:rPr>
            <w:noProof/>
            <w:webHidden/>
          </w:rPr>
          <w:fldChar w:fldCharType="separate"/>
        </w:r>
        <w:r w:rsidR="001D1BD2">
          <w:rPr>
            <w:noProof/>
            <w:webHidden/>
          </w:rPr>
          <w:t>31</w:t>
        </w:r>
        <w:r w:rsidR="001D1BD2">
          <w:rPr>
            <w:noProof/>
            <w:webHidden/>
          </w:rPr>
          <w:fldChar w:fldCharType="end"/>
        </w:r>
      </w:hyperlink>
    </w:p>
    <w:p w14:paraId="10F7358B" w14:textId="26B56758"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04" w:history="1">
        <w:r w:rsidR="001D1BD2" w:rsidRPr="006F10D6">
          <w:rPr>
            <w:rStyle w:val="Hipervnculo"/>
            <w:rFonts w:cs="Arial"/>
            <w:noProof/>
          </w:rPr>
          <w:t>Tabla 8 - Detalle de las pólizas de seguros, así como los montos asegurados – El Salvador</w:t>
        </w:r>
        <w:r w:rsidR="001D1BD2">
          <w:rPr>
            <w:noProof/>
            <w:webHidden/>
          </w:rPr>
          <w:tab/>
        </w:r>
        <w:r w:rsidR="001D1BD2">
          <w:rPr>
            <w:noProof/>
            <w:webHidden/>
          </w:rPr>
          <w:fldChar w:fldCharType="begin"/>
        </w:r>
        <w:r w:rsidR="001D1BD2">
          <w:rPr>
            <w:noProof/>
            <w:webHidden/>
          </w:rPr>
          <w:instrText xml:space="preserve"> PAGEREF _Toc169624704 \h </w:instrText>
        </w:r>
        <w:r w:rsidR="001D1BD2">
          <w:rPr>
            <w:noProof/>
            <w:webHidden/>
          </w:rPr>
        </w:r>
        <w:r w:rsidR="001D1BD2">
          <w:rPr>
            <w:noProof/>
            <w:webHidden/>
          </w:rPr>
          <w:fldChar w:fldCharType="separate"/>
        </w:r>
        <w:r w:rsidR="001D1BD2">
          <w:rPr>
            <w:noProof/>
            <w:webHidden/>
          </w:rPr>
          <w:t>31</w:t>
        </w:r>
        <w:r w:rsidR="001D1BD2">
          <w:rPr>
            <w:noProof/>
            <w:webHidden/>
          </w:rPr>
          <w:fldChar w:fldCharType="end"/>
        </w:r>
      </w:hyperlink>
    </w:p>
    <w:p w14:paraId="76CDCF90" w14:textId="4D751674"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05" w:history="1">
        <w:r w:rsidR="001D1BD2" w:rsidRPr="006F10D6">
          <w:rPr>
            <w:rStyle w:val="Hipervnculo"/>
            <w:rFonts w:cs="Arial"/>
            <w:noProof/>
          </w:rPr>
          <w:t>Tabla 9 - Detalle de las pólizas de seguros, así como los montos asegurados – Estados Unidos</w:t>
        </w:r>
        <w:r w:rsidR="001D1BD2">
          <w:rPr>
            <w:noProof/>
            <w:webHidden/>
          </w:rPr>
          <w:tab/>
        </w:r>
        <w:r w:rsidR="001D1BD2">
          <w:rPr>
            <w:noProof/>
            <w:webHidden/>
          </w:rPr>
          <w:fldChar w:fldCharType="begin"/>
        </w:r>
        <w:r w:rsidR="001D1BD2">
          <w:rPr>
            <w:noProof/>
            <w:webHidden/>
          </w:rPr>
          <w:instrText xml:space="preserve"> PAGEREF _Toc169624705 \h </w:instrText>
        </w:r>
        <w:r w:rsidR="001D1BD2">
          <w:rPr>
            <w:noProof/>
            <w:webHidden/>
          </w:rPr>
        </w:r>
        <w:r w:rsidR="001D1BD2">
          <w:rPr>
            <w:noProof/>
            <w:webHidden/>
          </w:rPr>
          <w:fldChar w:fldCharType="separate"/>
        </w:r>
        <w:r w:rsidR="001D1BD2">
          <w:rPr>
            <w:noProof/>
            <w:webHidden/>
          </w:rPr>
          <w:t>32</w:t>
        </w:r>
        <w:r w:rsidR="001D1BD2">
          <w:rPr>
            <w:noProof/>
            <w:webHidden/>
          </w:rPr>
          <w:fldChar w:fldCharType="end"/>
        </w:r>
      </w:hyperlink>
    </w:p>
    <w:p w14:paraId="50A0BEBF" w14:textId="3229071E"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06" w:history="1">
        <w:r w:rsidR="001D1BD2" w:rsidRPr="006F10D6">
          <w:rPr>
            <w:rStyle w:val="Hipervnculo"/>
            <w:rFonts w:cs="Arial"/>
            <w:noProof/>
          </w:rPr>
          <w:t>Tabla 10 - Razones financieras, en millones de colones</w:t>
        </w:r>
        <w:r w:rsidR="001D1BD2">
          <w:rPr>
            <w:noProof/>
            <w:webHidden/>
          </w:rPr>
          <w:tab/>
        </w:r>
        <w:r w:rsidR="001D1BD2">
          <w:rPr>
            <w:noProof/>
            <w:webHidden/>
          </w:rPr>
          <w:fldChar w:fldCharType="begin"/>
        </w:r>
        <w:r w:rsidR="001D1BD2">
          <w:rPr>
            <w:noProof/>
            <w:webHidden/>
          </w:rPr>
          <w:instrText xml:space="preserve"> PAGEREF _Toc169624706 \h </w:instrText>
        </w:r>
        <w:r w:rsidR="001D1BD2">
          <w:rPr>
            <w:noProof/>
            <w:webHidden/>
          </w:rPr>
        </w:r>
        <w:r w:rsidR="001D1BD2">
          <w:rPr>
            <w:noProof/>
            <w:webHidden/>
          </w:rPr>
          <w:fldChar w:fldCharType="separate"/>
        </w:r>
        <w:r w:rsidR="001D1BD2">
          <w:rPr>
            <w:noProof/>
            <w:webHidden/>
          </w:rPr>
          <w:t>33</w:t>
        </w:r>
        <w:r w:rsidR="001D1BD2">
          <w:rPr>
            <w:noProof/>
            <w:webHidden/>
          </w:rPr>
          <w:fldChar w:fldCharType="end"/>
        </w:r>
      </w:hyperlink>
    </w:p>
    <w:p w14:paraId="41C293E8" w14:textId="0CF4AA12"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07" w:history="1">
        <w:r w:rsidR="001D1BD2" w:rsidRPr="006F10D6">
          <w:rPr>
            <w:rStyle w:val="Hipervnculo"/>
            <w:rFonts w:cs="Arial"/>
            <w:noProof/>
          </w:rPr>
          <w:t>Tabla 11 - Liquidez Corriente</w:t>
        </w:r>
        <w:r w:rsidR="001D1BD2">
          <w:rPr>
            <w:noProof/>
            <w:webHidden/>
          </w:rPr>
          <w:tab/>
        </w:r>
        <w:r w:rsidR="001D1BD2">
          <w:rPr>
            <w:noProof/>
            <w:webHidden/>
          </w:rPr>
          <w:fldChar w:fldCharType="begin"/>
        </w:r>
        <w:r w:rsidR="001D1BD2">
          <w:rPr>
            <w:noProof/>
            <w:webHidden/>
          </w:rPr>
          <w:instrText xml:space="preserve"> PAGEREF _Toc169624707 \h </w:instrText>
        </w:r>
        <w:r w:rsidR="001D1BD2">
          <w:rPr>
            <w:noProof/>
            <w:webHidden/>
          </w:rPr>
        </w:r>
        <w:r w:rsidR="001D1BD2">
          <w:rPr>
            <w:noProof/>
            <w:webHidden/>
          </w:rPr>
          <w:fldChar w:fldCharType="separate"/>
        </w:r>
        <w:r w:rsidR="001D1BD2">
          <w:rPr>
            <w:noProof/>
            <w:webHidden/>
          </w:rPr>
          <w:t>33</w:t>
        </w:r>
        <w:r w:rsidR="001D1BD2">
          <w:rPr>
            <w:noProof/>
            <w:webHidden/>
          </w:rPr>
          <w:fldChar w:fldCharType="end"/>
        </w:r>
      </w:hyperlink>
    </w:p>
    <w:p w14:paraId="60B1020C" w14:textId="60CA7678"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08" w:history="1">
        <w:r w:rsidR="001D1BD2" w:rsidRPr="006F10D6">
          <w:rPr>
            <w:rStyle w:val="Hipervnculo"/>
            <w:rFonts w:cs="Arial"/>
            <w:noProof/>
          </w:rPr>
          <w:t>Tabla 12 - Razón Ácida</w:t>
        </w:r>
        <w:r w:rsidR="001D1BD2">
          <w:rPr>
            <w:noProof/>
            <w:webHidden/>
          </w:rPr>
          <w:tab/>
        </w:r>
        <w:r w:rsidR="001D1BD2">
          <w:rPr>
            <w:noProof/>
            <w:webHidden/>
          </w:rPr>
          <w:fldChar w:fldCharType="begin"/>
        </w:r>
        <w:r w:rsidR="001D1BD2">
          <w:rPr>
            <w:noProof/>
            <w:webHidden/>
          </w:rPr>
          <w:instrText xml:space="preserve"> PAGEREF _Toc169624708 \h </w:instrText>
        </w:r>
        <w:r w:rsidR="001D1BD2">
          <w:rPr>
            <w:noProof/>
            <w:webHidden/>
          </w:rPr>
        </w:r>
        <w:r w:rsidR="001D1BD2">
          <w:rPr>
            <w:noProof/>
            <w:webHidden/>
          </w:rPr>
          <w:fldChar w:fldCharType="separate"/>
        </w:r>
        <w:r w:rsidR="001D1BD2">
          <w:rPr>
            <w:noProof/>
            <w:webHidden/>
          </w:rPr>
          <w:t>34</w:t>
        </w:r>
        <w:r w:rsidR="001D1BD2">
          <w:rPr>
            <w:noProof/>
            <w:webHidden/>
          </w:rPr>
          <w:fldChar w:fldCharType="end"/>
        </w:r>
      </w:hyperlink>
    </w:p>
    <w:p w14:paraId="01A86D3D" w14:textId="77D4F940"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09" w:history="1">
        <w:r w:rsidR="001D1BD2" w:rsidRPr="006F10D6">
          <w:rPr>
            <w:rStyle w:val="Hipervnculo"/>
            <w:rFonts w:cs="Arial"/>
            <w:noProof/>
          </w:rPr>
          <w:t>Tabla 13 - Utilidad Neta a Activo Total</w:t>
        </w:r>
        <w:r w:rsidR="001D1BD2">
          <w:rPr>
            <w:noProof/>
            <w:webHidden/>
          </w:rPr>
          <w:tab/>
        </w:r>
        <w:r w:rsidR="001D1BD2">
          <w:rPr>
            <w:noProof/>
            <w:webHidden/>
          </w:rPr>
          <w:fldChar w:fldCharType="begin"/>
        </w:r>
        <w:r w:rsidR="001D1BD2">
          <w:rPr>
            <w:noProof/>
            <w:webHidden/>
          </w:rPr>
          <w:instrText xml:space="preserve"> PAGEREF _Toc169624709 \h </w:instrText>
        </w:r>
        <w:r w:rsidR="001D1BD2">
          <w:rPr>
            <w:noProof/>
            <w:webHidden/>
          </w:rPr>
        </w:r>
        <w:r w:rsidR="001D1BD2">
          <w:rPr>
            <w:noProof/>
            <w:webHidden/>
          </w:rPr>
          <w:fldChar w:fldCharType="separate"/>
        </w:r>
        <w:r w:rsidR="001D1BD2">
          <w:rPr>
            <w:noProof/>
            <w:webHidden/>
          </w:rPr>
          <w:t>34</w:t>
        </w:r>
        <w:r w:rsidR="001D1BD2">
          <w:rPr>
            <w:noProof/>
            <w:webHidden/>
          </w:rPr>
          <w:fldChar w:fldCharType="end"/>
        </w:r>
      </w:hyperlink>
    </w:p>
    <w:p w14:paraId="35737FB3" w14:textId="5BA7FEBB"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10" w:history="1">
        <w:r w:rsidR="001D1BD2" w:rsidRPr="006F10D6">
          <w:rPr>
            <w:rStyle w:val="Hipervnculo"/>
            <w:rFonts w:cs="Arial"/>
            <w:noProof/>
          </w:rPr>
          <w:t>Tabla 14 - Utilidad Neta a Ventas</w:t>
        </w:r>
        <w:r w:rsidR="001D1BD2">
          <w:rPr>
            <w:noProof/>
            <w:webHidden/>
          </w:rPr>
          <w:tab/>
        </w:r>
        <w:r w:rsidR="001D1BD2">
          <w:rPr>
            <w:noProof/>
            <w:webHidden/>
          </w:rPr>
          <w:fldChar w:fldCharType="begin"/>
        </w:r>
        <w:r w:rsidR="001D1BD2">
          <w:rPr>
            <w:noProof/>
            <w:webHidden/>
          </w:rPr>
          <w:instrText xml:space="preserve"> PAGEREF _Toc169624710 \h </w:instrText>
        </w:r>
        <w:r w:rsidR="001D1BD2">
          <w:rPr>
            <w:noProof/>
            <w:webHidden/>
          </w:rPr>
        </w:r>
        <w:r w:rsidR="001D1BD2">
          <w:rPr>
            <w:noProof/>
            <w:webHidden/>
          </w:rPr>
          <w:fldChar w:fldCharType="separate"/>
        </w:r>
        <w:r w:rsidR="001D1BD2">
          <w:rPr>
            <w:noProof/>
            <w:webHidden/>
          </w:rPr>
          <w:t>35</w:t>
        </w:r>
        <w:r w:rsidR="001D1BD2">
          <w:rPr>
            <w:noProof/>
            <w:webHidden/>
          </w:rPr>
          <w:fldChar w:fldCharType="end"/>
        </w:r>
      </w:hyperlink>
    </w:p>
    <w:p w14:paraId="2AF6B4E5" w14:textId="523B818F"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11" w:history="1">
        <w:r w:rsidR="001D1BD2" w:rsidRPr="006F10D6">
          <w:rPr>
            <w:rStyle w:val="Hipervnculo"/>
            <w:rFonts w:cs="Arial"/>
            <w:noProof/>
          </w:rPr>
          <w:t>Tabla 15 - Utilidad Neta a Patrimonio Neto</w:t>
        </w:r>
        <w:r w:rsidR="001D1BD2">
          <w:rPr>
            <w:noProof/>
            <w:webHidden/>
          </w:rPr>
          <w:tab/>
        </w:r>
        <w:r w:rsidR="001D1BD2">
          <w:rPr>
            <w:noProof/>
            <w:webHidden/>
          </w:rPr>
          <w:fldChar w:fldCharType="begin"/>
        </w:r>
        <w:r w:rsidR="001D1BD2">
          <w:rPr>
            <w:noProof/>
            <w:webHidden/>
          </w:rPr>
          <w:instrText xml:space="preserve"> PAGEREF _Toc169624711 \h </w:instrText>
        </w:r>
        <w:r w:rsidR="001D1BD2">
          <w:rPr>
            <w:noProof/>
            <w:webHidden/>
          </w:rPr>
        </w:r>
        <w:r w:rsidR="001D1BD2">
          <w:rPr>
            <w:noProof/>
            <w:webHidden/>
          </w:rPr>
          <w:fldChar w:fldCharType="separate"/>
        </w:r>
        <w:r w:rsidR="001D1BD2">
          <w:rPr>
            <w:noProof/>
            <w:webHidden/>
          </w:rPr>
          <w:t>35</w:t>
        </w:r>
        <w:r w:rsidR="001D1BD2">
          <w:rPr>
            <w:noProof/>
            <w:webHidden/>
          </w:rPr>
          <w:fldChar w:fldCharType="end"/>
        </w:r>
      </w:hyperlink>
    </w:p>
    <w:p w14:paraId="55868357" w14:textId="6F394385"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12" w:history="1">
        <w:r w:rsidR="001D1BD2" w:rsidRPr="006F10D6">
          <w:rPr>
            <w:rStyle w:val="Hipervnculo"/>
            <w:rFonts w:cs="Arial"/>
            <w:noProof/>
          </w:rPr>
          <w:t>Tabla 16 - Utilidad por Acción</w:t>
        </w:r>
        <w:r w:rsidR="001D1BD2">
          <w:rPr>
            <w:noProof/>
            <w:webHidden/>
          </w:rPr>
          <w:tab/>
        </w:r>
        <w:r w:rsidR="001D1BD2">
          <w:rPr>
            <w:noProof/>
            <w:webHidden/>
          </w:rPr>
          <w:fldChar w:fldCharType="begin"/>
        </w:r>
        <w:r w:rsidR="001D1BD2">
          <w:rPr>
            <w:noProof/>
            <w:webHidden/>
          </w:rPr>
          <w:instrText xml:space="preserve"> PAGEREF _Toc169624712 \h </w:instrText>
        </w:r>
        <w:r w:rsidR="001D1BD2">
          <w:rPr>
            <w:noProof/>
            <w:webHidden/>
          </w:rPr>
        </w:r>
        <w:r w:rsidR="001D1BD2">
          <w:rPr>
            <w:noProof/>
            <w:webHidden/>
          </w:rPr>
          <w:fldChar w:fldCharType="separate"/>
        </w:r>
        <w:r w:rsidR="001D1BD2">
          <w:rPr>
            <w:noProof/>
            <w:webHidden/>
          </w:rPr>
          <w:t>36</w:t>
        </w:r>
        <w:r w:rsidR="001D1BD2">
          <w:rPr>
            <w:noProof/>
            <w:webHidden/>
          </w:rPr>
          <w:fldChar w:fldCharType="end"/>
        </w:r>
      </w:hyperlink>
    </w:p>
    <w:p w14:paraId="24698BC1" w14:textId="2CF79059"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13" w:history="1">
        <w:r w:rsidR="001D1BD2" w:rsidRPr="006F10D6">
          <w:rPr>
            <w:rStyle w:val="Hipervnculo"/>
            <w:rFonts w:cs="Arial"/>
            <w:noProof/>
          </w:rPr>
          <w:t>Tabla 17 - Periodo medio de cobro de cuentas por cobrar comerciales</w:t>
        </w:r>
        <w:r w:rsidR="001D1BD2">
          <w:rPr>
            <w:noProof/>
            <w:webHidden/>
          </w:rPr>
          <w:tab/>
        </w:r>
        <w:r w:rsidR="001D1BD2">
          <w:rPr>
            <w:noProof/>
            <w:webHidden/>
          </w:rPr>
          <w:fldChar w:fldCharType="begin"/>
        </w:r>
        <w:r w:rsidR="001D1BD2">
          <w:rPr>
            <w:noProof/>
            <w:webHidden/>
          </w:rPr>
          <w:instrText xml:space="preserve"> PAGEREF _Toc169624713 \h </w:instrText>
        </w:r>
        <w:r w:rsidR="001D1BD2">
          <w:rPr>
            <w:noProof/>
            <w:webHidden/>
          </w:rPr>
        </w:r>
        <w:r w:rsidR="001D1BD2">
          <w:rPr>
            <w:noProof/>
            <w:webHidden/>
          </w:rPr>
          <w:fldChar w:fldCharType="separate"/>
        </w:r>
        <w:r w:rsidR="001D1BD2">
          <w:rPr>
            <w:noProof/>
            <w:webHidden/>
          </w:rPr>
          <w:t>36</w:t>
        </w:r>
        <w:r w:rsidR="001D1BD2">
          <w:rPr>
            <w:noProof/>
            <w:webHidden/>
          </w:rPr>
          <w:fldChar w:fldCharType="end"/>
        </w:r>
      </w:hyperlink>
    </w:p>
    <w:p w14:paraId="00233B37" w14:textId="4AF75EA3"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14" w:history="1">
        <w:r w:rsidR="001D1BD2" w:rsidRPr="006F10D6">
          <w:rPr>
            <w:rStyle w:val="Hipervnculo"/>
            <w:rFonts w:cs="Arial"/>
            <w:noProof/>
          </w:rPr>
          <w:t>Tabla 18 - Periodo medio de pago</w:t>
        </w:r>
        <w:r w:rsidR="001D1BD2">
          <w:rPr>
            <w:noProof/>
            <w:webHidden/>
          </w:rPr>
          <w:tab/>
        </w:r>
        <w:r w:rsidR="001D1BD2">
          <w:rPr>
            <w:noProof/>
            <w:webHidden/>
          </w:rPr>
          <w:fldChar w:fldCharType="begin"/>
        </w:r>
        <w:r w:rsidR="001D1BD2">
          <w:rPr>
            <w:noProof/>
            <w:webHidden/>
          </w:rPr>
          <w:instrText xml:space="preserve"> PAGEREF _Toc169624714 \h </w:instrText>
        </w:r>
        <w:r w:rsidR="001D1BD2">
          <w:rPr>
            <w:noProof/>
            <w:webHidden/>
          </w:rPr>
        </w:r>
        <w:r w:rsidR="001D1BD2">
          <w:rPr>
            <w:noProof/>
            <w:webHidden/>
          </w:rPr>
          <w:fldChar w:fldCharType="separate"/>
        </w:r>
        <w:r w:rsidR="001D1BD2">
          <w:rPr>
            <w:noProof/>
            <w:webHidden/>
          </w:rPr>
          <w:t>37</w:t>
        </w:r>
        <w:r w:rsidR="001D1BD2">
          <w:rPr>
            <w:noProof/>
            <w:webHidden/>
          </w:rPr>
          <w:fldChar w:fldCharType="end"/>
        </w:r>
      </w:hyperlink>
    </w:p>
    <w:p w14:paraId="62A3671F" w14:textId="48B2ADEA"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15" w:history="1">
        <w:r w:rsidR="001D1BD2" w:rsidRPr="006F10D6">
          <w:rPr>
            <w:rStyle w:val="Hipervnculo"/>
            <w:rFonts w:cs="Arial"/>
            <w:noProof/>
          </w:rPr>
          <w:t>Tabla 19 - Días de Inventario</w:t>
        </w:r>
        <w:r w:rsidR="001D1BD2">
          <w:rPr>
            <w:noProof/>
            <w:webHidden/>
          </w:rPr>
          <w:tab/>
        </w:r>
        <w:r w:rsidR="001D1BD2">
          <w:rPr>
            <w:noProof/>
            <w:webHidden/>
          </w:rPr>
          <w:fldChar w:fldCharType="begin"/>
        </w:r>
        <w:r w:rsidR="001D1BD2">
          <w:rPr>
            <w:noProof/>
            <w:webHidden/>
          </w:rPr>
          <w:instrText xml:space="preserve"> PAGEREF _Toc169624715 \h </w:instrText>
        </w:r>
        <w:r w:rsidR="001D1BD2">
          <w:rPr>
            <w:noProof/>
            <w:webHidden/>
          </w:rPr>
        </w:r>
        <w:r w:rsidR="001D1BD2">
          <w:rPr>
            <w:noProof/>
            <w:webHidden/>
          </w:rPr>
          <w:fldChar w:fldCharType="separate"/>
        </w:r>
        <w:r w:rsidR="001D1BD2">
          <w:rPr>
            <w:noProof/>
            <w:webHidden/>
          </w:rPr>
          <w:t>37</w:t>
        </w:r>
        <w:r w:rsidR="001D1BD2">
          <w:rPr>
            <w:noProof/>
            <w:webHidden/>
          </w:rPr>
          <w:fldChar w:fldCharType="end"/>
        </w:r>
      </w:hyperlink>
    </w:p>
    <w:p w14:paraId="31B80EAB" w14:textId="7FE24170"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16" w:history="1">
        <w:r w:rsidR="001D1BD2" w:rsidRPr="006F10D6">
          <w:rPr>
            <w:rStyle w:val="Hipervnculo"/>
            <w:rFonts w:cs="Arial"/>
            <w:noProof/>
          </w:rPr>
          <w:t>Tabla 20 - Rotación de Inventario</w:t>
        </w:r>
        <w:r w:rsidR="001D1BD2">
          <w:rPr>
            <w:noProof/>
            <w:webHidden/>
          </w:rPr>
          <w:tab/>
        </w:r>
        <w:r w:rsidR="001D1BD2">
          <w:rPr>
            <w:noProof/>
            <w:webHidden/>
          </w:rPr>
          <w:fldChar w:fldCharType="begin"/>
        </w:r>
        <w:r w:rsidR="001D1BD2">
          <w:rPr>
            <w:noProof/>
            <w:webHidden/>
          </w:rPr>
          <w:instrText xml:space="preserve"> PAGEREF _Toc169624716 \h </w:instrText>
        </w:r>
        <w:r w:rsidR="001D1BD2">
          <w:rPr>
            <w:noProof/>
            <w:webHidden/>
          </w:rPr>
        </w:r>
        <w:r w:rsidR="001D1BD2">
          <w:rPr>
            <w:noProof/>
            <w:webHidden/>
          </w:rPr>
          <w:fldChar w:fldCharType="separate"/>
        </w:r>
        <w:r w:rsidR="001D1BD2">
          <w:rPr>
            <w:noProof/>
            <w:webHidden/>
          </w:rPr>
          <w:t>38</w:t>
        </w:r>
        <w:r w:rsidR="001D1BD2">
          <w:rPr>
            <w:noProof/>
            <w:webHidden/>
          </w:rPr>
          <w:fldChar w:fldCharType="end"/>
        </w:r>
      </w:hyperlink>
    </w:p>
    <w:p w14:paraId="7D178864" w14:textId="70B366C5"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17" w:history="1">
        <w:r w:rsidR="001D1BD2" w:rsidRPr="006F10D6">
          <w:rPr>
            <w:rStyle w:val="Hipervnculo"/>
            <w:rFonts w:cs="Arial"/>
            <w:noProof/>
          </w:rPr>
          <w:t>Tabla 21 - Rotación de Activo Fijo</w:t>
        </w:r>
        <w:r w:rsidR="001D1BD2">
          <w:rPr>
            <w:noProof/>
            <w:webHidden/>
          </w:rPr>
          <w:tab/>
        </w:r>
        <w:r w:rsidR="001D1BD2">
          <w:rPr>
            <w:noProof/>
            <w:webHidden/>
          </w:rPr>
          <w:fldChar w:fldCharType="begin"/>
        </w:r>
        <w:r w:rsidR="001D1BD2">
          <w:rPr>
            <w:noProof/>
            <w:webHidden/>
          </w:rPr>
          <w:instrText xml:space="preserve"> PAGEREF _Toc169624717 \h </w:instrText>
        </w:r>
        <w:r w:rsidR="001D1BD2">
          <w:rPr>
            <w:noProof/>
            <w:webHidden/>
          </w:rPr>
        </w:r>
        <w:r w:rsidR="001D1BD2">
          <w:rPr>
            <w:noProof/>
            <w:webHidden/>
          </w:rPr>
          <w:fldChar w:fldCharType="separate"/>
        </w:r>
        <w:r w:rsidR="001D1BD2">
          <w:rPr>
            <w:noProof/>
            <w:webHidden/>
          </w:rPr>
          <w:t>38</w:t>
        </w:r>
        <w:r w:rsidR="001D1BD2">
          <w:rPr>
            <w:noProof/>
            <w:webHidden/>
          </w:rPr>
          <w:fldChar w:fldCharType="end"/>
        </w:r>
      </w:hyperlink>
    </w:p>
    <w:p w14:paraId="0AD84F1B" w14:textId="3F7CF3D0"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18" w:history="1">
        <w:r w:rsidR="001D1BD2" w:rsidRPr="006F10D6">
          <w:rPr>
            <w:rStyle w:val="Hipervnculo"/>
            <w:rFonts w:cs="Arial"/>
            <w:noProof/>
          </w:rPr>
          <w:t>Tabla 22 - Utilidad Neta más Gastos Financieros a Gastos Financieros</w:t>
        </w:r>
        <w:r w:rsidR="001D1BD2">
          <w:rPr>
            <w:noProof/>
            <w:webHidden/>
          </w:rPr>
          <w:tab/>
        </w:r>
        <w:r w:rsidR="001D1BD2">
          <w:rPr>
            <w:noProof/>
            <w:webHidden/>
          </w:rPr>
          <w:fldChar w:fldCharType="begin"/>
        </w:r>
        <w:r w:rsidR="001D1BD2">
          <w:rPr>
            <w:noProof/>
            <w:webHidden/>
          </w:rPr>
          <w:instrText xml:space="preserve"> PAGEREF _Toc169624718 \h </w:instrText>
        </w:r>
        <w:r w:rsidR="001D1BD2">
          <w:rPr>
            <w:noProof/>
            <w:webHidden/>
          </w:rPr>
        </w:r>
        <w:r w:rsidR="001D1BD2">
          <w:rPr>
            <w:noProof/>
            <w:webHidden/>
          </w:rPr>
          <w:fldChar w:fldCharType="separate"/>
        </w:r>
        <w:r w:rsidR="001D1BD2">
          <w:rPr>
            <w:noProof/>
            <w:webHidden/>
          </w:rPr>
          <w:t>39</w:t>
        </w:r>
        <w:r w:rsidR="001D1BD2">
          <w:rPr>
            <w:noProof/>
            <w:webHidden/>
          </w:rPr>
          <w:fldChar w:fldCharType="end"/>
        </w:r>
      </w:hyperlink>
    </w:p>
    <w:p w14:paraId="275F6C24" w14:textId="25B429BD"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19" w:history="1">
        <w:r w:rsidR="001D1BD2" w:rsidRPr="006F10D6">
          <w:rPr>
            <w:rStyle w:val="Hipervnculo"/>
            <w:rFonts w:cs="Arial"/>
            <w:noProof/>
          </w:rPr>
          <w:t>Tabla 23 - Cuentas Incobrables a Ventas Netas</w:t>
        </w:r>
        <w:r w:rsidR="001D1BD2">
          <w:rPr>
            <w:noProof/>
            <w:webHidden/>
          </w:rPr>
          <w:tab/>
        </w:r>
        <w:r w:rsidR="001D1BD2">
          <w:rPr>
            <w:noProof/>
            <w:webHidden/>
          </w:rPr>
          <w:fldChar w:fldCharType="begin"/>
        </w:r>
        <w:r w:rsidR="001D1BD2">
          <w:rPr>
            <w:noProof/>
            <w:webHidden/>
          </w:rPr>
          <w:instrText xml:space="preserve"> PAGEREF _Toc169624719 \h </w:instrText>
        </w:r>
        <w:r w:rsidR="001D1BD2">
          <w:rPr>
            <w:noProof/>
            <w:webHidden/>
          </w:rPr>
        </w:r>
        <w:r w:rsidR="001D1BD2">
          <w:rPr>
            <w:noProof/>
            <w:webHidden/>
          </w:rPr>
          <w:fldChar w:fldCharType="separate"/>
        </w:r>
        <w:r w:rsidR="001D1BD2">
          <w:rPr>
            <w:noProof/>
            <w:webHidden/>
          </w:rPr>
          <w:t>39</w:t>
        </w:r>
        <w:r w:rsidR="001D1BD2">
          <w:rPr>
            <w:noProof/>
            <w:webHidden/>
          </w:rPr>
          <w:fldChar w:fldCharType="end"/>
        </w:r>
      </w:hyperlink>
    </w:p>
    <w:p w14:paraId="12C476CD" w14:textId="57082653"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20" w:history="1">
        <w:r w:rsidR="001D1BD2" w:rsidRPr="006F10D6">
          <w:rPr>
            <w:rStyle w:val="Hipervnculo"/>
            <w:rFonts w:cs="Arial"/>
            <w:noProof/>
          </w:rPr>
          <w:t>Tabla 24 - Activos y Pasivos en Moneda Extranjera</w:t>
        </w:r>
        <w:r w:rsidR="001D1BD2">
          <w:rPr>
            <w:noProof/>
            <w:webHidden/>
          </w:rPr>
          <w:tab/>
        </w:r>
        <w:r w:rsidR="001D1BD2">
          <w:rPr>
            <w:noProof/>
            <w:webHidden/>
          </w:rPr>
          <w:fldChar w:fldCharType="begin"/>
        </w:r>
        <w:r w:rsidR="001D1BD2">
          <w:rPr>
            <w:noProof/>
            <w:webHidden/>
          </w:rPr>
          <w:instrText xml:space="preserve"> PAGEREF _Toc169624720 \h </w:instrText>
        </w:r>
        <w:r w:rsidR="001D1BD2">
          <w:rPr>
            <w:noProof/>
            <w:webHidden/>
          </w:rPr>
        </w:r>
        <w:r w:rsidR="001D1BD2">
          <w:rPr>
            <w:noProof/>
            <w:webHidden/>
          </w:rPr>
          <w:fldChar w:fldCharType="separate"/>
        </w:r>
        <w:r w:rsidR="001D1BD2">
          <w:rPr>
            <w:noProof/>
            <w:webHidden/>
          </w:rPr>
          <w:t>40</w:t>
        </w:r>
        <w:r w:rsidR="001D1BD2">
          <w:rPr>
            <w:noProof/>
            <w:webHidden/>
          </w:rPr>
          <w:fldChar w:fldCharType="end"/>
        </w:r>
      </w:hyperlink>
    </w:p>
    <w:p w14:paraId="160E4229" w14:textId="1EB66005"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21" w:history="1">
        <w:r w:rsidR="001D1BD2" w:rsidRPr="006F10D6">
          <w:rPr>
            <w:rStyle w:val="Hipervnculo"/>
            <w:rFonts w:cs="Arial"/>
            <w:noProof/>
          </w:rPr>
          <w:t>Tabla 25 - Pasivo Total a Patrimonio Neto (Excluyendo las Utilidades Disponibles)</w:t>
        </w:r>
        <w:r w:rsidR="001D1BD2">
          <w:rPr>
            <w:noProof/>
            <w:webHidden/>
          </w:rPr>
          <w:tab/>
        </w:r>
        <w:r w:rsidR="001D1BD2">
          <w:rPr>
            <w:noProof/>
            <w:webHidden/>
          </w:rPr>
          <w:fldChar w:fldCharType="begin"/>
        </w:r>
        <w:r w:rsidR="001D1BD2">
          <w:rPr>
            <w:noProof/>
            <w:webHidden/>
          </w:rPr>
          <w:instrText xml:space="preserve"> PAGEREF _Toc169624721 \h </w:instrText>
        </w:r>
        <w:r w:rsidR="001D1BD2">
          <w:rPr>
            <w:noProof/>
            <w:webHidden/>
          </w:rPr>
        </w:r>
        <w:r w:rsidR="001D1BD2">
          <w:rPr>
            <w:noProof/>
            <w:webHidden/>
          </w:rPr>
          <w:fldChar w:fldCharType="separate"/>
        </w:r>
        <w:r w:rsidR="001D1BD2">
          <w:rPr>
            <w:noProof/>
            <w:webHidden/>
          </w:rPr>
          <w:t>41</w:t>
        </w:r>
        <w:r w:rsidR="001D1BD2">
          <w:rPr>
            <w:noProof/>
            <w:webHidden/>
          </w:rPr>
          <w:fldChar w:fldCharType="end"/>
        </w:r>
      </w:hyperlink>
    </w:p>
    <w:p w14:paraId="3C0CCE66" w14:textId="74461652"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22" w:history="1">
        <w:r w:rsidR="001D1BD2" w:rsidRPr="006F10D6">
          <w:rPr>
            <w:rStyle w:val="Hipervnculo"/>
            <w:rFonts w:cs="Arial"/>
            <w:noProof/>
          </w:rPr>
          <w:t>Tabla 26 - Captación Efectiva a Pasivo Total</w:t>
        </w:r>
        <w:r w:rsidR="001D1BD2">
          <w:rPr>
            <w:noProof/>
            <w:webHidden/>
          </w:rPr>
          <w:tab/>
        </w:r>
        <w:r w:rsidR="001D1BD2">
          <w:rPr>
            <w:noProof/>
            <w:webHidden/>
          </w:rPr>
          <w:fldChar w:fldCharType="begin"/>
        </w:r>
        <w:r w:rsidR="001D1BD2">
          <w:rPr>
            <w:noProof/>
            <w:webHidden/>
          </w:rPr>
          <w:instrText xml:space="preserve"> PAGEREF _Toc169624722 \h </w:instrText>
        </w:r>
        <w:r w:rsidR="001D1BD2">
          <w:rPr>
            <w:noProof/>
            <w:webHidden/>
          </w:rPr>
        </w:r>
        <w:r w:rsidR="001D1BD2">
          <w:rPr>
            <w:noProof/>
            <w:webHidden/>
          </w:rPr>
          <w:fldChar w:fldCharType="separate"/>
        </w:r>
        <w:r w:rsidR="001D1BD2">
          <w:rPr>
            <w:noProof/>
            <w:webHidden/>
          </w:rPr>
          <w:t>41</w:t>
        </w:r>
        <w:r w:rsidR="001D1BD2">
          <w:rPr>
            <w:noProof/>
            <w:webHidden/>
          </w:rPr>
          <w:fldChar w:fldCharType="end"/>
        </w:r>
      </w:hyperlink>
    </w:p>
    <w:p w14:paraId="5256FF09" w14:textId="6EAC12D9"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23" w:history="1">
        <w:r w:rsidR="001D1BD2" w:rsidRPr="006F10D6">
          <w:rPr>
            <w:rStyle w:val="Hipervnculo"/>
            <w:rFonts w:cs="Arial"/>
            <w:noProof/>
          </w:rPr>
          <w:t>Tabla 27 - Distribución de utilidades de los últimos 10 años (en millones de colones)</w:t>
        </w:r>
        <w:r w:rsidR="001D1BD2">
          <w:rPr>
            <w:noProof/>
            <w:webHidden/>
          </w:rPr>
          <w:tab/>
        </w:r>
        <w:r w:rsidR="001D1BD2">
          <w:rPr>
            <w:noProof/>
            <w:webHidden/>
          </w:rPr>
          <w:fldChar w:fldCharType="begin"/>
        </w:r>
        <w:r w:rsidR="001D1BD2">
          <w:rPr>
            <w:noProof/>
            <w:webHidden/>
          </w:rPr>
          <w:instrText xml:space="preserve"> PAGEREF _Toc169624723 \h </w:instrText>
        </w:r>
        <w:r w:rsidR="001D1BD2">
          <w:rPr>
            <w:noProof/>
            <w:webHidden/>
          </w:rPr>
        </w:r>
        <w:r w:rsidR="001D1BD2">
          <w:rPr>
            <w:noProof/>
            <w:webHidden/>
          </w:rPr>
          <w:fldChar w:fldCharType="separate"/>
        </w:r>
        <w:r w:rsidR="001D1BD2">
          <w:rPr>
            <w:noProof/>
            <w:webHidden/>
          </w:rPr>
          <w:t>42</w:t>
        </w:r>
        <w:r w:rsidR="001D1BD2">
          <w:rPr>
            <w:noProof/>
            <w:webHidden/>
          </w:rPr>
          <w:fldChar w:fldCharType="end"/>
        </w:r>
      </w:hyperlink>
    </w:p>
    <w:p w14:paraId="6E82F042" w14:textId="75135B35"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24" w:history="1">
        <w:r w:rsidR="001D1BD2" w:rsidRPr="006F10D6">
          <w:rPr>
            <w:rStyle w:val="Hipervnculo"/>
            <w:rFonts w:cs="Arial"/>
            <w:noProof/>
          </w:rPr>
          <w:t>Tabla 28 - Historia del Capital Social por los últimos 3 años</w:t>
        </w:r>
        <w:r w:rsidR="001D1BD2">
          <w:rPr>
            <w:noProof/>
            <w:webHidden/>
          </w:rPr>
          <w:tab/>
        </w:r>
        <w:r w:rsidR="001D1BD2">
          <w:rPr>
            <w:noProof/>
            <w:webHidden/>
          </w:rPr>
          <w:fldChar w:fldCharType="begin"/>
        </w:r>
        <w:r w:rsidR="001D1BD2">
          <w:rPr>
            <w:noProof/>
            <w:webHidden/>
          </w:rPr>
          <w:instrText xml:space="preserve"> PAGEREF _Toc169624724 \h </w:instrText>
        </w:r>
        <w:r w:rsidR="001D1BD2">
          <w:rPr>
            <w:noProof/>
            <w:webHidden/>
          </w:rPr>
        </w:r>
        <w:r w:rsidR="001D1BD2">
          <w:rPr>
            <w:noProof/>
            <w:webHidden/>
          </w:rPr>
          <w:fldChar w:fldCharType="separate"/>
        </w:r>
        <w:r w:rsidR="001D1BD2">
          <w:rPr>
            <w:noProof/>
            <w:webHidden/>
          </w:rPr>
          <w:t>43</w:t>
        </w:r>
        <w:r w:rsidR="001D1BD2">
          <w:rPr>
            <w:noProof/>
            <w:webHidden/>
          </w:rPr>
          <w:fldChar w:fldCharType="end"/>
        </w:r>
      </w:hyperlink>
    </w:p>
    <w:p w14:paraId="3047F4B6" w14:textId="21E6459A"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25" w:history="1">
        <w:r w:rsidR="001D1BD2" w:rsidRPr="006F10D6">
          <w:rPr>
            <w:rStyle w:val="Hipervnculo"/>
            <w:rFonts w:cs="Arial"/>
            <w:noProof/>
          </w:rPr>
          <w:t>Tabla 29 - Ventas por zona geográfica</w:t>
        </w:r>
        <w:r w:rsidR="001D1BD2">
          <w:rPr>
            <w:noProof/>
            <w:webHidden/>
          </w:rPr>
          <w:tab/>
        </w:r>
        <w:r w:rsidR="001D1BD2">
          <w:rPr>
            <w:noProof/>
            <w:webHidden/>
          </w:rPr>
          <w:fldChar w:fldCharType="begin"/>
        </w:r>
        <w:r w:rsidR="001D1BD2">
          <w:rPr>
            <w:noProof/>
            <w:webHidden/>
          </w:rPr>
          <w:instrText xml:space="preserve"> PAGEREF _Toc169624725 \h </w:instrText>
        </w:r>
        <w:r w:rsidR="001D1BD2">
          <w:rPr>
            <w:noProof/>
            <w:webHidden/>
          </w:rPr>
        </w:r>
        <w:r w:rsidR="001D1BD2">
          <w:rPr>
            <w:noProof/>
            <w:webHidden/>
          </w:rPr>
          <w:fldChar w:fldCharType="separate"/>
        </w:r>
        <w:r w:rsidR="001D1BD2">
          <w:rPr>
            <w:noProof/>
            <w:webHidden/>
          </w:rPr>
          <w:t>49</w:t>
        </w:r>
        <w:r w:rsidR="001D1BD2">
          <w:rPr>
            <w:noProof/>
            <w:webHidden/>
          </w:rPr>
          <w:fldChar w:fldCharType="end"/>
        </w:r>
      </w:hyperlink>
    </w:p>
    <w:p w14:paraId="5383B0C6" w14:textId="723A3912"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26" w:history="1">
        <w:r w:rsidR="001D1BD2" w:rsidRPr="006F10D6">
          <w:rPr>
            <w:rStyle w:val="Hipervnculo"/>
            <w:rFonts w:cs="Arial"/>
            <w:noProof/>
          </w:rPr>
          <w:t>Tabla 30 - Balance por segmentos de negocio (en millones de colones)</w:t>
        </w:r>
        <w:r w:rsidR="001D1BD2">
          <w:rPr>
            <w:noProof/>
            <w:webHidden/>
          </w:rPr>
          <w:tab/>
        </w:r>
        <w:r w:rsidR="001D1BD2">
          <w:rPr>
            <w:noProof/>
            <w:webHidden/>
          </w:rPr>
          <w:fldChar w:fldCharType="begin"/>
        </w:r>
        <w:r w:rsidR="001D1BD2">
          <w:rPr>
            <w:noProof/>
            <w:webHidden/>
          </w:rPr>
          <w:instrText xml:space="preserve"> PAGEREF _Toc169624726 \h </w:instrText>
        </w:r>
        <w:r w:rsidR="001D1BD2">
          <w:rPr>
            <w:noProof/>
            <w:webHidden/>
          </w:rPr>
        </w:r>
        <w:r w:rsidR="001D1BD2">
          <w:rPr>
            <w:noProof/>
            <w:webHidden/>
          </w:rPr>
          <w:fldChar w:fldCharType="separate"/>
        </w:r>
        <w:r w:rsidR="001D1BD2">
          <w:rPr>
            <w:noProof/>
            <w:webHidden/>
          </w:rPr>
          <w:t>51</w:t>
        </w:r>
        <w:r w:rsidR="001D1BD2">
          <w:rPr>
            <w:noProof/>
            <w:webHidden/>
          </w:rPr>
          <w:fldChar w:fldCharType="end"/>
        </w:r>
      </w:hyperlink>
    </w:p>
    <w:p w14:paraId="7E2180C8" w14:textId="50E8C2D5"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27" w:history="1">
        <w:r w:rsidR="001D1BD2" w:rsidRPr="006F10D6">
          <w:rPr>
            <w:rStyle w:val="Hipervnculo"/>
            <w:rFonts w:cs="Arial"/>
            <w:noProof/>
          </w:rPr>
          <w:t>Tabla 31 - Detalle de Subsidiarias</w:t>
        </w:r>
        <w:r w:rsidR="001D1BD2">
          <w:rPr>
            <w:noProof/>
            <w:webHidden/>
          </w:rPr>
          <w:tab/>
        </w:r>
        <w:r w:rsidR="001D1BD2">
          <w:rPr>
            <w:noProof/>
            <w:webHidden/>
          </w:rPr>
          <w:fldChar w:fldCharType="begin"/>
        </w:r>
        <w:r w:rsidR="001D1BD2">
          <w:rPr>
            <w:noProof/>
            <w:webHidden/>
          </w:rPr>
          <w:instrText xml:space="preserve"> PAGEREF _Toc169624727 \h </w:instrText>
        </w:r>
        <w:r w:rsidR="001D1BD2">
          <w:rPr>
            <w:noProof/>
            <w:webHidden/>
          </w:rPr>
        </w:r>
        <w:r w:rsidR="001D1BD2">
          <w:rPr>
            <w:noProof/>
            <w:webHidden/>
          </w:rPr>
          <w:fldChar w:fldCharType="separate"/>
        </w:r>
        <w:r w:rsidR="001D1BD2">
          <w:rPr>
            <w:noProof/>
            <w:webHidden/>
          </w:rPr>
          <w:t>51</w:t>
        </w:r>
        <w:r w:rsidR="001D1BD2">
          <w:rPr>
            <w:noProof/>
            <w:webHidden/>
          </w:rPr>
          <w:fldChar w:fldCharType="end"/>
        </w:r>
      </w:hyperlink>
    </w:p>
    <w:p w14:paraId="6656653A" w14:textId="347BB65A"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28" w:history="1">
        <w:r w:rsidR="001D1BD2" w:rsidRPr="006F10D6">
          <w:rPr>
            <w:rStyle w:val="Hipervnculo"/>
            <w:rFonts w:cs="Arial"/>
            <w:noProof/>
          </w:rPr>
          <w:t>Tabla 32 - Capacidad instalada de Planta de Producción #1</w:t>
        </w:r>
        <w:r w:rsidR="001D1BD2">
          <w:rPr>
            <w:noProof/>
            <w:webHidden/>
          </w:rPr>
          <w:tab/>
        </w:r>
        <w:r w:rsidR="001D1BD2">
          <w:rPr>
            <w:noProof/>
            <w:webHidden/>
          </w:rPr>
          <w:fldChar w:fldCharType="begin"/>
        </w:r>
        <w:r w:rsidR="001D1BD2">
          <w:rPr>
            <w:noProof/>
            <w:webHidden/>
          </w:rPr>
          <w:instrText xml:space="preserve"> PAGEREF _Toc169624728 \h </w:instrText>
        </w:r>
        <w:r w:rsidR="001D1BD2">
          <w:rPr>
            <w:noProof/>
            <w:webHidden/>
          </w:rPr>
        </w:r>
        <w:r w:rsidR="001D1BD2">
          <w:rPr>
            <w:noProof/>
            <w:webHidden/>
          </w:rPr>
          <w:fldChar w:fldCharType="separate"/>
        </w:r>
        <w:r w:rsidR="001D1BD2">
          <w:rPr>
            <w:noProof/>
            <w:webHidden/>
          </w:rPr>
          <w:t>52</w:t>
        </w:r>
        <w:r w:rsidR="001D1BD2">
          <w:rPr>
            <w:noProof/>
            <w:webHidden/>
          </w:rPr>
          <w:fldChar w:fldCharType="end"/>
        </w:r>
      </w:hyperlink>
    </w:p>
    <w:p w14:paraId="1B76438E" w14:textId="38F86CE1"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29" w:history="1">
        <w:r w:rsidR="001D1BD2" w:rsidRPr="006F10D6">
          <w:rPr>
            <w:rStyle w:val="Hipervnculo"/>
            <w:rFonts w:cs="Arial"/>
            <w:noProof/>
          </w:rPr>
          <w:t>Tabla 33 - Capacidad Instalada de Planta de Producción #2</w:t>
        </w:r>
        <w:r w:rsidR="001D1BD2">
          <w:rPr>
            <w:noProof/>
            <w:webHidden/>
          </w:rPr>
          <w:tab/>
        </w:r>
        <w:r w:rsidR="001D1BD2">
          <w:rPr>
            <w:noProof/>
            <w:webHidden/>
          </w:rPr>
          <w:fldChar w:fldCharType="begin"/>
        </w:r>
        <w:r w:rsidR="001D1BD2">
          <w:rPr>
            <w:noProof/>
            <w:webHidden/>
          </w:rPr>
          <w:instrText xml:space="preserve"> PAGEREF _Toc169624729 \h </w:instrText>
        </w:r>
        <w:r w:rsidR="001D1BD2">
          <w:rPr>
            <w:noProof/>
            <w:webHidden/>
          </w:rPr>
        </w:r>
        <w:r w:rsidR="001D1BD2">
          <w:rPr>
            <w:noProof/>
            <w:webHidden/>
          </w:rPr>
          <w:fldChar w:fldCharType="separate"/>
        </w:r>
        <w:r w:rsidR="001D1BD2">
          <w:rPr>
            <w:noProof/>
            <w:webHidden/>
          </w:rPr>
          <w:t>53</w:t>
        </w:r>
        <w:r w:rsidR="001D1BD2">
          <w:rPr>
            <w:noProof/>
            <w:webHidden/>
          </w:rPr>
          <w:fldChar w:fldCharType="end"/>
        </w:r>
      </w:hyperlink>
    </w:p>
    <w:p w14:paraId="230A5E21" w14:textId="68F8664B"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30" w:history="1">
        <w:r w:rsidR="001D1BD2" w:rsidRPr="006F10D6">
          <w:rPr>
            <w:rStyle w:val="Hipervnculo"/>
            <w:rFonts w:cs="Arial"/>
            <w:noProof/>
          </w:rPr>
          <w:t>Tabla 34 - Capacidad Instalada de Planta de Producción #3</w:t>
        </w:r>
        <w:r w:rsidR="001D1BD2">
          <w:rPr>
            <w:noProof/>
            <w:webHidden/>
          </w:rPr>
          <w:tab/>
        </w:r>
        <w:r w:rsidR="001D1BD2">
          <w:rPr>
            <w:noProof/>
            <w:webHidden/>
          </w:rPr>
          <w:fldChar w:fldCharType="begin"/>
        </w:r>
        <w:r w:rsidR="001D1BD2">
          <w:rPr>
            <w:noProof/>
            <w:webHidden/>
          </w:rPr>
          <w:instrText xml:space="preserve"> PAGEREF _Toc169624730 \h </w:instrText>
        </w:r>
        <w:r w:rsidR="001D1BD2">
          <w:rPr>
            <w:noProof/>
            <w:webHidden/>
          </w:rPr>
        </w:r>
        <w:r w:rsidR="001D1BD2">
          <w:rPr>
            <w:noProof/>
            <w:webHidden/>
          </w:rPr>
          <w:fldChar w:fldCharType="separate"/>
        </w:r>
        <w:r w:rsidR="001D1BD2">
          <w:rPr>
            <w:noProof/>
            <w:webHidden/>
          </w:rPr>
          <w:t>53</w:t>
        </w:r>
        <w:r w:rsidR="001D1BD2">
          <w:rPr>
            <w:noProof/>
            <w:webHidden/>
          </w:rPr>
          <w:fldChar w:fldCharType="end"/>
        </w:r>
      </w:hyperlink>
    </w:p>
    <w:p w14:paraId="5FC9CCA9" w14:textId="342F7135"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31" w:history="1">
        <w:r w:rsidR="001D1BD2" w:rsidRPr="006F10D6">
          <w:rPr>
            <w:rStyle w:val="Hipervnculo"/>
            <w:rFonts w:cs="Arial"/>
            <w:noProof/>
          </w:rPr>
          <w:t>Tabla 35 - Capacidad Instalada de Planta de Producción #4</w:t>
        </w:r>
        <w:r w:rsidR="001D1BD2">
          <w:rPr>
            <w:noProof/>
            <w:webHidden/>
          </w:rPr>
          <w:tab/>
        </w:r>
        <w:r w:rsidR="001D1BD2">
          <w:rPr>
            <w:noProof/>
            <w:webHidden/>
          </w:rPr>
          <w:fldChar w:fldCharType="begin"/>
        </w:r>
        <w:r w:rsidR="001D1BD2">
          <w:rPr>
            <w:noProof/>
            <w:webHidden/>
          </w:rPr>
          <w:instrText xml:space="preserve"> PAGEREF _Toc169624731 \h </w:instrText>
        </w:r>
        <w:r w:rsidR="001D1BD2">
          <w:rPr>
            <w:noProof/>
            <w:webHidden/>
          </w:rPr>
        </w:r>
        <w:r w:rsidR="001D1BD2">
          <w:rPr>
            <w:noProof/>
            <w:webHidden/>
          </w:rPr>
          <w:fldChar w:fldCharType="separate"/>
        </w:r>
        <w:r w:rsidR="001D1BD2">
          <w:rPr>
            <w:noProof/>
            <w:webHidden/>
          </w:rPr>
          <w:t>54</w:t>
        </w:r>
        <w:r w:rsidR="001D1BD2">
          <w:rPr>
            <w:noProof/>
            <w:webHidden/>
          </w:rPr>
          <w:fldChar w:fldCharType="end"/>
        </w:r>
      </w:hyperlink>
    </w:p>
    <w:p w14:paraId="5BBD63D5" w14:textId="1E5022E9"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32" w:history="1">
        <w:r w:rsidR="001D1BD2" w:rsidRPr="006F10D6">
          <w:rPr>
            <w:rStyle w:val="Hipervnculo"/>
            <w:rFonts w:cs="Arial"/>
            <w:noProof/>
          </w:rPr>
          <w:t>Tabla 36 - Capacidad Instalada de Planta de Producción #5.</w:t>
        </w:r>
        <w:r w:rsidR="001D1BD2">
          <w:rPr>
            <w:noProof/>
            <w:webHidden/>
          </w:rPr>
          <w:tab/>
        </w:r>
        <w:r w:rsidR="001D1BD2">
          <w:rPr>
            <w:noProof/>
            <w:webHidden/>
          </w:rPr>
          <w:fldChar w:fldCharType="begin"/>
        </w:r>
        <w:r w:rsidR="001D1BD2">
          <w:rPr>
            <w:noProof/>
            <w:webHidden/>
          </w:rPr>
          <w:instrText xml:space="preserve"> PAGEREF _Toc169624732 \h </w:instrText>
        </w:r>
        <w:r w:rsidR="001D1BD2">
          <w:rPr>
            <w:noProof/>
            <w:webHidden/>
          </w:rPr>
        </w:r>
        <w:r w:rsidR="001D1BD2">
          <w:rPr>
            <w:noProof/>
            <w:webHidden/>
          </w:rPr>
          <w:fldChar w:fldCharType="separate"/>
        </w:r>
        <w:r w:rsidR="001D1BD2">
          <w:rPr>
            <w:noProof/>
            <w:webHidden/>
          </w:rPr>
          <w:t>54</w:t>
        </w:r>
        <w:r w:rsidR="001D1BD2">
          <w:rPr>
            <w:noProof/>
            <w:webHidden/>
          </w:rPr>
          <w:fldChar w:fldCharType="end"/>
        </w:r>
      </w:hyperlink>
    </w:p>
    <w:p w14:paraId="0BABC690" w14:textId="2217231C"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33" w:history="1">
        <w:r w:rsidR="001D1BD2" w:rsidRPr="006F10D6">
          <w:rPr>
            <w:rStyle w:val="Hipervnculo"/>
            <w:rFonts w:cs="Arial"/>
            <w:noProof/>
          </w:rPr>
          <w:t>Tabla 37 - Principales hitos de categoría cerveza y BAS</w:t>
        </w:r>
        <w:r w:rsidR="001D1BD2">
          <w:rPr>
            <w:noProof/>
            <w:webHidden/>
          </w:rPr>
          <w:tab/>
        </w:r>
        <w:r w:rsidR="001D1BD2">
          <w:rPr>
            <w:noProof/>
            <w:webHidden/>
          </w:rPr>
          <w:fldChar w:fldCharType="begin"/>
        </w:r>
        <w:r w:rsidR="001D1BD2">
          <w:rPr>
            <w:noProof/>
            <w:webHidden/>
          </w:rPr>
          <w:instrText xml:space="preserve"> PAGEREF _Toc169624733 \h </w:instrText>
        </w:r>
        <w:r w:rsidR="001D1BD2">
          <w:rPr>
            <w:noProof/>
            <w:webHidden/>
          </w:rPr>
        </w:r>
        <w:r w:rsidR="001D1BD2">
          <w:rPr>
            <w:noProof/>
            <w:webHidden/>
          </w:rPr>
          <w:fldChar w:fldCharType="separate"/>
        </w:r>
        <w:r w:rsidR="001D1BD2">
          <w:rPr>
            <w:noProof/>
            <w:webHidden/>
          </w:rPr>
          <w:t>60</w:t>
        </w:r>
        <w:r w:rsidR="001D1BD2">
          <w:rPr>
            <w:noProof/>
            <w:webHidden/>
          </w:rPr>
          <w:fldChar w:fldCharType="end"/>
        </w:r>
      </w:hyperlink>
    </w:p>
    <w:p w14:paraId="57ED302B" w14:textId="760C6A9F"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34" w:history="1">
        <w:r w:rsidR="001D1BD2" w:rsidRPr="006F10D6">
          <w:rPr>
            <w:rStyle w:val="Hipervnculo"/>
            <w:rFonts w:cs="Arial"/>
            <w:noProof/>
          </w:rPr>
          <w:t>Tabla 38 - Principales hitos de categoría refrescos</w:t>
        </w:r>
        <w:r w:rsidR="001D1BD2">
          <w:rPr>
            <w:noProof/>
            <w:webHidden/>
          </w:rPr>
          <w:tab/>
        </w:r>
        <w:r w:rsidR="001D1BD2">
          <w:rPr>
            <w:noProof/>
            <w:webHidden/>
          </w:rPr>
          <w:fldChar w:fldCharType="begin"/>
        </w:r>
        <w:r w:rsidR="001D1BD2">
          <w:rPr>
            <w:noProof/>
            <w:webHidden/>
          </w:rPr>
          <w:instrText xml:space="preserve"> PAGEREF _Toc169624734 \h </w:instrText>
        </w:r>
        <w:r w:rsidR="001D1BD2">
          <w:rPr>
            <w:noProof/>
            <w:webHidden/>
          </w:rPr>
        </w:r>
        <w:r w:rsidR="001D1BD2">
          <w:rPr>
            <w:noProof/>
            <w:webHidden/>
          </w:rPr>
          <w:fldChar w:fldCharType="separate"/>
        </w:r>
        <w:r w:rsidR="001D1BD2">
          <w:rPr>
            <w:noProof/>
            <w:webHidden/>
          </w:rPr>
          <w:t>63</w:t>
        </w:r>
        <w:r w:rsidR="001D1BD2">
          <w:rPr>
            <w:noProof/>
            <w:webHidden/>
          </w:rPr>
          <w:fldChar w:fldCharType="end"/>
        </w:r>
      </w:hyperlink>
    </w:p>
    <w:p w14:paraId="415DC1C1" w14:textId="751B1085"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35" w:history="1">
        <w:r w:rsidR="001D1BD2" w:rsidRPr="006F10D6">
          <w:rPr>
            <w:rStyle w:val="Hipervnculo"/>
            <w:rFonts w:cs="Arial"/>
            <w:noProof/>
          </w:rPr>
          <w:t>Tabla 39 - Principales hitos de bebidas FIFCO USA</w:t>
        </w:r>
        <w:r w:rsidR="001D1BD2">
          <w:rPr>
            <w:noProof/>
            <w:webHidden/>
          </w:rPr>
          <w:tab/>
        </w:r>
        <w:r w:rsidR="001D1BD2">
          <w:rPr>
            <w:noProof/>
            <w:webHidden/>
          </w:rPr>
          <w:fldChar w:fldCharType="begin"/>
        </w:r>
        <w:r w:rsidR="001D1BD2">
          <w:rPr>
            <w:noProof/>
            <w:webHidden/>
          </w:rPr>
          <w:instrText xml:space="preserve"> PAGEREF _Toc169624735 \h </w:instrText>
        </w:r>
        <w:r w:rsidR="001D1BD2">
          <w:rPr>
            <w:noProof/>
            <w:webHidden/>
          </w:rPr>
        </w:r>
        <w:r w:rsidR="001D1BD2">
          <w:rPr>
            <w:noProof/>
            <w:webHidden/>
          </w:rPr>
          <w:fldChar w:fldCharType="separate"/>
        </w:r>
        <w:r w:rsidR="001D1BD2">
          <w:rPr>
            <w:noProof/>
            <w:webHidden/>
          </w:rPr>
          <w:t>64</w:t>
        </w:r>
        <w:r w:rsidR="001D1BD2">
          <w:rPr>
            <w:noProof/>
            <w:webHidden/>
          </w:rPr>
          <w:fldChar w:fldCharType="end"/>
        </w:r>
      </w:hyperlink>
    </w:p>
    <w:p w14:paraId="44DEE4AD" w14:textId="042E8111"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36" w:history="1">
        <w:r w:rsidR="001D1BD2" w:rsidRPr="006F10D6">
          <w:rPr>
            <w:rStyle w:val="Hipervnculo"/>
            <w:rFonts w:cs="Arial"/>
            <w:noProof/>
          </w:rPr>
          <w:t>Tabla 40 - Principales hitos de la categoría de alimentos</w:t>
        </w:r>
        <w:r w:rsidR="001D1BD2">
          <w:rPr>
            <w:noProof/>
            <w:webHidden/>
          </w:rPr>
          <w:tab/>
        </w:r>
        <w:r w:rsidR="001D1BD2">
          <w:rPr>
            <w:noProof/>
            <w:webHidden/>
          </w:rPr>
          <w:fldChar w:fldCharType="begin"/>
        </w:r>
        <w:r w:rsidR="001D1BD2">
          <w:rPr>
            <w:noProof/>
            <w:webHidden/>
          </w:rPr>
          <w:instrText xml:space="preserve"> PAGEREF _Toc169624736 \h </w:instrText>
        </w:r>
        <w:r w:rsidR="001D1BD2">
          <w:rPr>
            <w:noProof/>
            <w:webHidden/>
          </w:rPr>
        </w:r>
        <w:r w:rsidR="001D1BD2">
          <w:rPr>
            <w:noProof/>
            <w:webHidden/>
          </w:rPr>
          <w:fldChar w:fldCharType="separate"/>
        </w:r>
        <w:r w:rsidR="001D1BD2">
          <w:rPr>
            <w:noProof/>
            <w:webHidden/>
          </w:rPr>
          <w:t>65</w:t>
        </w:r>
        <w:r w:rsidR="001D1BD2">
          <w:rPr>
            <w:noProof/>
            <w:webHidden/>
          </w:rPr>
          <w:fldChar w:fldCharType="end"/>
        </w:r>
      </w:hyperlink>
    </w:p>
    <w:p w14:paraId="35F79957" w14:textId="0B481A7F"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37" w:history="1">
        <w:r w:rsidR="001D1BD2" w:rsidRPr="006F10D6">
          <w:rPr>
            <w:rStyle w:val="Hipervnculo"/>
            <w:rFonts w:cs="Arial"/>
            <w:noProof/>
          </w:rPr>
          <w:t>Tabla 41 - Principales hitos de Florida Retail</w:t>
        </w:r>
        <w:r w:rsidR="001D1BD2">
          <w:rPr>
            <w:noProof/>
            <w:webHidden/>
          </w:rPr>
          <w:tab/>
        </w:r>
        <w:r w:rsidR="001D1BD2">
          <w:rPr>
            <w:noProof/>
            <w:webHidden/>
          </w:rPr>
          <w:fldChar w:fldCharType="begin"/>
        </w:r>
        <w:r w:rsidR="001D1BD2">
          <w:rPr>
            <w:noProof/>
            <w:webHidden/>
          </w:rPr>
          <w:instrText xml:space="preserve"> PAGEREF _Toc169624737 \h </w:instrText>
        </w:r>
        <w:r w:rsidR="001D1BD2">
          <w:rPr>
            <w:noProof/>
            <w:webHidden/>
          </w:rPr>
        </w:r>
        <w:r w:rsidR="001D1BD2">
          <w:rPr>
            <w:noProof/>
            <w:webHidden/>
          </w:rPr>
          <w:fldChar w:fldCharType="separate"/>
        </w:r>
        <w:r w:rsidR="001D1BD2">
          <w:rPr>
            <w:noProof/>
            <w:webHidden/>
          </w:rPr>
          <w:t>66</w:t>
        </w:r>
        <w:r w:rsidR="001D1BD2">
          <w:rPr>
            <w:noProof/>
            <w:webHidden/>
          </w:rPr>
          <w:fldChar w:fldCharType="end"/>
        </w:r>
      </w:hyperlink>
    </w:p>
    <w:p w14:paraId="76C265EF" w14:textId="714CC29A"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38" w:history="1">
        <w:r w:rsidR="001D1BD2" w:rsidRPr="006F10D6">
          <w:rPr>
            <w:rStyle w:val="Hipervnculo"/>
            <w:rFonts w:cs="Arial"/>
            <w:noProof/>
          </w:rPr>
          <w:t>Tabla 42 - Principales hitos de Florida Hospitalidad</w:t>
        </w:r>
        <w:r w:rsidR="001D1BD2">
          <w:rPr>
            <w:noProof/>
            <w:webHidden/>
          </w:rPr>
          <w:tab/>
        </w:r>
        <w:r w:rsidR="001D1BD2">
          <w:rPr>
            <w:noProof/>
            <w:webHidden/>
          </w:rPr>
          <w:fldChar w:fldCharType="begin"/>
        </w:r>
        <w:r w:rsidR="001D1BD2">
          <w:rPr>
            <w:noProof/>
            <w:webHidden/>
          </w:rPr>
          <w:instrText xml:space="preserve"> PAGEREF _Toc169624738 \h </w:instrText>
        </w:r>
        <w:r w:rsidR="001D1BD2">
          <w:rPr>
            <w:noProof/>
            <w:webHidden/>
          </w:rPr>
        </w:r>
        <w:r w:rsidR="001D1BD2">
          <w:rPr>
            <w:noProof/>
            <w:webHidden/>
          </w:rPr>
          <w:fldChar w:fldCharType="separate"/>
        </w:r>
        <w:r w:rsidR="001D1BD2">
          <w:rPr>
            <w:noProof/>
            <w:webHidden/>
          </w:rPr>
          <w:t>67</w:t>
        </w:r>
        <w:r w:rsidR="001D1BD2">
          <w:rPr>
            <w:noProof/>
            <w:webHidden/>
          </w:rPr>
          <w:fldChar w:fldCharType="end"/>
        </w:r>
      </w:hyperlink>
    </w:p>
    <w:p w14:paraId="1ACD7F08" w14:textId="1118D7CC"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39" w:history="1">
        <w:r w:rsidR="001D1BD2" w:rsidRPr="006F10D6">
          <w:rPr>
            <w:rStyle w:val="Hipervnculo"/>
            <w:rFonts w:cs="Arial"/>
            <w:noProof/>
          </w:rPr>
          <w:t>Tabla 43 - Principales hitos de Florida Capitales</w:t>
        </w:r>
        <w:r w:rsidR="001D1BD2">
          <w:rPr>
            <w:noProof/>
            <w:webHidden/>
          </w:rPr>
          <w:tab/>
        </w:r>
        <w:r w:rsidR="001D1BD2">
          <w:rPr>
            <w:noProof/>
            <w:webHidden/>
          </w:rPr>
          <w:fldChar w:fldCharType="begin"/>
        </w:r>
        <w:r w:rsidR="001D1BD2">
          <w:rPr>
            <w:noProof/>
            <w:webHidden/>
          </w:rPr>
          <w:instrText xml:space="preserve"> PAGEREF _Toc169624739 \h </w:instrText>
        </w:r>
        <w:r w:rsidR="001D1BD2">
          <w:rPr>
            <w:noProof/>
            <w:webHidden/>
          </w:rPr>
        </w:r>
        <w:r w:rsidR="001D1BD2">
          <w:rPr>
            <w:noProof/>
            <w:webHidden/>
          </w:rPr>
          <w:fldChar w:fldCharType="separate"/>
        </w:r>
        <w:r w:rsidR="001D1BD2">
          <w:rPr>
            <w:noProof/>
            <w:webHidden/>
          </w:rPr>
          <w:t>68</w:t>
        </w:r>
        <w:r w:rsidR="001D1BD2">
          <w:rPr>
            <w:noProof/>
            <w:webHidden/>
          </w:rPr>
          <w:fldChar w:fldCharType="end"/>
        </w:r>
      </w:hyperlink>
    </w:p>
    <w:p w14:paraId="588F1D76" w14:textId="35A399B5"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40" w:history="1">
        <w:r w:rsidR="001D1BD2" w:rsidRPr="006F10D6">
          <w:rPr>
            <w:rStyle w:val="Hipervnculo"/>
            <w:rFonts w:cs="Arial"/>
            <w:noProof/>
          </w:rPr>
          <w:t>Tabla 44 – Número de reclamaciones por impactos económicos, sociales y ambientales</w:t>
        </w:r>
        <w:r w:rsidR="001D1BD2">
          <w:rPr>
            <w:noProof/>
            <w:webHidden/>
          </w:rPr>
          <w:tab/>
        </w:r>
        <w:r w:rsidR="001D1BD2">
          <w:rPr>
            <w:noProof/>
            <w:webHidden/>
          </w:rPr>
          <w:fldChar w:fldCharType="begin"/>
        </w:r>
        <w:r w:rsidR="001D1BD2">
          <w:rPr>
            <w:noProof/>
            <w:webHidden/>
          </w:rPr>
          <w:instrText xml:space="preserve"> PAGEREF _Toc169624740 \h </w:instrText>
        </w:r>
        <w:r w:rsidR="001D1BD2">
          <w:rPr>
            <w:noProof/>
            <w:webHidden/>
          </w:rPr>
        </w:r>
        <w:r w:rsidR="001D1BD2">
          <w:rPr>
            <w:noProof/>
            <w:webHidden/>
          </w:rPr>
          <w:fldChar w:fldCharType="separate"/>
        </w:r>
        <w:r w:rsidR="001D1BD2">
          <w:rPr>
            <w:noProof/>
            <w:webHidden/>
          </w:rPr>
          <w:t>69</w:t>
        </w:r>
        <w:r w:rsidR="001D1BD2">
          <w:rPr>
            <w:noProof/>
            <w:webHidden/>
          </w:rPr>
          <w:fldChar w:fldCharType="end"/>
        </w:r>
      </w:hyperlink>
    </w:p>
    <w:p w14:paraId="056A239E" w14:textId="3B7CD0C0"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41" w:history="1">
        <w:r w:rsidR="001D1BD2" w:rsidRPr="006F10D6">
          <w:rPr>
            <w:rStyle w:val="Hipervnculo"/>
            <w:rFonts w:cs="Arial"/>
            <w:noProof/>
          </w:rPr>
          <w:t>Tabla 45 - Iniciativas de Sostenibilidad a lo largo de la cadena de valor</w:t>
        </w:r>
        <w:r w:rsidR="001D1BD2">
          <w:rPr>
            <w:noProof/>
            <w:webHidden/>
          </w:rPr>
          <w:tab/>
        </w:r>
        <w:r w:rsidR="001D1BD2">
          <w:rPr>
            <w:noProof/>
            <w:webHidden/>
          </w:rPr>
          <w:fldChar w:fldCharType="begin"/>
        </w:r>
        <w:r w:rsidR="001D1BD2">
          <w:rPr>
            <w:noProof/>
            <w:webHidden/>
          </w:rPr>
          <w:instrText xml:space="preserve"> PAGEREF _Toc169624741 \h </w:instrText>
        </w:r>
        <w:r w:rsidR="001D1BD2">
          <w:rPr>
            <w:noProof/>
            <w:webHidden/>
          </w:rPr>
        </w:r>
        <w:r w:rsidR="001D1BD2">
          <w:rPr>
            <w:noProof/>
            <w:webHidden/>
          </w:rPr>
          <w:fldChar w:fldCharType="separate"/>
        </w:r>
        <w:r w:rsidR="001D1BD2">
          <w:rPr>
            <w:noProof/>
            <w:webHidden/>
          </w:rPr>
          <w:t>70</w:t>
        </w:r>
        <w:r w:rsidR="001D1BD2">
          <w:rPr>
            <w:noProof/>
            <w:webHidden/>
          </w:rPr>
          <w:fldChar w:fldCharType="end"/>
        </w:r>
      </w:hyperlink>
    </w:p>
    <w:p w14:paraId="53E51F84" w14:textId="739226A4"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42" w:history="1">
        <w:r w:rsidR="001D1BD2" w:rsidRPr="006F10D6">
          <w:rPr>
            <w:rStyle w:val="Hipervnculo"/>
            <w:rFonts w:cs="Arial"/>
            <w:noProof/>
          </w:rPr>
          <w:t>Tabla 46 - Horas de capacitación impartidas</w:t>
        </w:r>
        <w:r w:rsidR="001D1BD2">
          <w:rPr>
            <w:noProof/>
            <w:webHidden/>
          </w:rPr>
          <w:tab/>
        </w:r>
        <w:r w:rsidR="001D1BD2">
          <w:rPr>
            <w:noProof/>
            <w:webHidden/>
          </w:rPr>
          <w:fldChar w:fldCharType="begin"/>
        </w:r>
        <w:r w:rsidR="001D1BD2">
          <w:rPr>
            <w:noProof/>
            <w:webHidden/>
          </w:rPr>
          <w:instrText xml:space="preserve"> PAGEREF _Toc169624742 \h </w:instrText>
        </w:r>
        <w:r w:rsidR="001D1BD2">
          <w:rPr>
            <w:noProof/>
            <w:webHidden/>
          </w:rPr>
        </w:r>
        <w:r w:rsidR="001D1BD2">
          <w:rPr>
            <w:noProof/>
            <w:webHidden/>
          </w:rPr>
          <w:fldChar w:fldCharType="separate"/>
        </w:r>
        <w:r w:rsidR="001D1BD2">
          <w:rPr>
            <w:noProof/>
            <w:webHidden/>
          </w:rPr>
          <w:t>73</w:t>
        </w:r>
        <w:r w:rsidR="001D1BD2">
          <w:rPr>
            <w:noProof/>
            <w:webHidden/>
          </w:rPr>
          <w:fldChar w:fldCharType="end"/>
        </w:r>
      </w:hyperlink>
    </w:p>
    <w:p w14:paraId="17F6F0DC" w14:textId="4E70F3B0"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43" w:history="1">
        <w:r w:rsidR="001D1BD2" w:rsidRPr="006F10D6">
          <w:rPr>
            <w:rStyle w:val="Hipervnculo"/>
            <w:rFonts w:cs="Arial"/>
            <w:noProof/>
          </w:rPr>
          <w:t>Tabla 47 - Agendas de Consumo Inteligente Integral</w:t>
        </w:r>
        <w:r w:rsidR="001D1BD2">
          <w:rPr>
            <w:noProof/>
            <w:webHidden/>
          </w:rPr>
          <w:tab/>
        </w:r>
        <w:r w:rsidR="001D1BD2">
          <w:rPr>
            <w:noProof/>
            <w:webHidden/>
          </w:rPr>
          <w:fldChar w:fldCharType="begin"/>
        </w:r>
        <w:r w:rsidR="001D1BD2">
          <w:rPr>
            <w:noProof/>
            <w:webHidden/>
          </w:rPr>
          <w:instrText xml:space="preserve"> PAGEREF _Toc169624743 \h </w:instrText>
        </w:r>
        <w:r w:rsidR="001D1BD2">
          <w:rPr>
            <w:noProof/>
            <w:webHidden/>
          </w:rPr>
        </w:r>
        <w:r w:rsidR="001D1BD2">
          <w:rPr>
            <w:noProof/>
            <w:webHidden/>
          </w:rPr>
          <w:fldChar w:fldCharType="separate"/>
        </w:r>
        <w:r w:rsidR="001D1BD2">
          <w:rPr>
            <w:noProof/>
            <w:webHidden/>
          </w:rPr>
          <w:t>75</w:t>
        </w:r>
        <w:r w:rsidR="001D1BD2">
          <w:rPr>
            <w:noProof/>
            <w:webHidden/>
          </w:rPr>
          <w:fldChar w:fldCharType="end"/>
        </w:r>
      </w:hyperlink>
    </w:p>
    <w:p w14:paraId="7782DC98" w14:textId="14ABA45A"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44" w:history="1">
        <w:r w:rsidR="001D1BD2" w:rsidRPr="006F10D6">
          <w:rPr>
            <w:rStyle w:val="Hipervnculo"/>
            <w:rFonts w:cs="Arial"/>
            <w:noProof/>
          </w:rPr>
          <w:t>Tabla 53 - Saldos con partes relacionadas</w:t>
        </w:r>
        <w:r w:rsidR="001D1BD2">
          <w:rPr>
            <w:noProof/>
            <w:webHidden/>
          </w:rPr>
          <w:tab/>
        </w:r>
        <w:r w:rsidR="001D1BD2">
          <w:rPr>
            <w:noProof/>
            <w:webHidden/>
          </w:rPr>
          <w:fldChar w:fldCharType="begin"/>
        </w:r>
        <w:r w:rsidR="001D1BD2">
          <w:rPr>
            <w:noProof/>
            <w:webHidden/>
          </w:rPr>
          <w:instrText xml:space="preserve"> PAGEREF _Toc169624744 \h </w:instrText>
        </w:r>
        <w:r w:rsidR="001D1BD2">
          <w:rPr>
            <w:noProof/>
            <w:webHidden/>
          </w:rPr>
        </w:r>
        <w:r w:rsidR="001D1BD2">
          <w:rPr>
            <w:noProof/>
            <w:webHidden/>
          </w:rPr>
          <w:fldChar w:fldCharType="separate"/>
        </w:r>
        <w:r w:rsidR="001D1BD2">
          <w:rPr>
            <w:noProof/>
            <w:webHidden/>
          </w:rPr>
          <w:t>95</w:t>
        </w:r>
        <w:r w:rsidR="001D1BD2">
          <w:rPr>
            <w:noProof/>
            <w:webHidden/>
          </w:rPr>
          <w:fldChar w:fldCharType="end"/>
        </w:r>
      </w:hyperlink>
    </w:p>
    <w:p w14:paraId="7255A7A8" w14:textId="1E4AB379" w:rsidR="001D1BD2" w:rsidRDefault="00000000">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45" w:history="1">
        <w:r w:rsidR="001D1BD2" w:rsidRPr="006F10D6">
          <w:rPr>
            <w:rStyle w:val="Hipervnculo"/>
            <w:rFonts w:cs="Arial"/>
            <w:noProof/>
          </w:rPr>
          <w:t>Tabla 54 - Transacciones con partes relacionadas</w:t>
        </w:r>
        <w:r w:rsidR="001D1BD2">
          <w:rPr>
            <w:noProof/>
            <w:webHidden/>
          </w:rPr>
          <w:tab/>
        </w:r>
        <w:r w:rsidR="001D1BD2">
          <w:rPr>
            <w:noProof/>
            <w:webHidden/>
          </w:rPr>
          <w:fldChar w:fldCharType="begin"/>
        </w:r>
        <w:r w:rsidR="001D1BD2">
          <w:rPr>
            <w:noProof/>
            <w:webHidden/>
          </w:rPr>
          <w:instrText xml:space="preserve"> PAGEREF _Toc169624745 \h </w:instrText>
        </w:r>
        <w:r w:rsidR="001D1BD2">
          <w:rPr>
            <w:noProof/>
            <w:webHidden/>
          </w:rPr>
        </w:r>
        <w:r w:rsidR="001D1BD2">
          <w:rPr>
            <w:noProof/>
            <w:webHidden/>
          </w:rPr>
          <w:fldChar w:fldCharType="separate"/>
        </w:r>
        <w:r w:rsidR="001D1BD2">
          <w:rPr>
            <w:noProof/>
            <w:webHidden/>
          </w:rPr>
          <w:t>96</w:t>
        </w:r>
        <w:r w:rsidR="001D1BD2">
          <w:rPr>
            <w:noProof/>
            <w:webHidden/>
          </w:rPr>
          <w:fldChar w:fldCharType="end"/>
        </w:r>
      </w:hyperlink>
    </w:p>
    <w:p w14:paraId="0FF4679E" w14:textId="5B0DBC5C" w:rsidR="009208B2" w:rsidRPr="00382A62" w:rsidRDefault="00206E9F" w:rsidP="00430215">
      <w:pPr>
        <w:jc w:val="left"/>
        <w:rPr>
          <w:rFonts w:cs="Arial"/>
          <w:szCs w:val="20"/>
        </w:rPr>
      </w:pPr>
      <w:r w:rsidRPr="00382A62">
        <w:rPr>
          <w:rFonts w:cs="Arial"/>
          <w:szCs w:val="20"/>
        </w:rPr>
        <w:fldChar w:fldCharType="end"/>
      </w:r>
    </w:p>
    <w:p w14:paraId="2E37DF95" w14:textId="77777777" w:rsidR="009208B2" w:rsidRPr="00382A62" w:rsidRDefault="009208B2" w:rsidP="009208B2">
      <w:pPr>
        <w:pStyle w:val="Ttulo2"/>
        <w:rPr>
          <w:rFonts w:cs="Arial"/>
          <w:sz w:val="20"/>
          <w:szCs w:val="20"/>
        </w:rPr>
      </w:pPr>
      <w:bookmarkStart w:id="12" w:name="_Toc131501056"/>
      <w:bookmarkStart w:id="13" w:name="_Toc169624615"/>
      <w:r w:rsidRPr="00382A62">
        <w:rPr>
          <w:rFonts w:cs="Arial"/>
          <w:sz w:val="20"/>
          <w:szCs w:val="20"/>
        </w:rPr>
        <w:t>Índice de ilustraciones</w:t>
      </w:r>
      <w:bookmarkEnd w:id="12"/>
      <w:bookmarkEnd w:id="13"/>
    </w:p>
    <w:p w14:paraId="290FE4D0" w14:textId="3168E732" w:rsidR="00147CF2" w:rsidRPr="00382A62" w:rsidRDefault="009208B2">
      <w:pPr>
        <w:pStyle w:val="Tabladeilustraciones"/>
        <w:tabs>
          <w:tab w:val="right" w:leader="dot" w:pos="10070"/>
        </w:tabs>
        <w:rPr>
          <w:rFonts w:eastAsiaTheme="minorEastAsia" w:cs="Arial"/>
          <w:noProof/>
          <w:szCs w:val="20"/>
          <w:lang w:eastAsia="es-CR"/>
        </w:rPr>
      </w:pPr>
      <w:r w:rsidRPr="00382A62">
        <w:rPr>
          <w:rFonts w:cs="Arial"/>
          <w:szCs w:val="20"/>
        </w:rPr>
        <w:fldChar w:fldCharType="begin"/>
      </w:r>
      <w:r w:rsidRPr="00382A62">
        <w:rPr>
          <w:rFonts w:cs="Arial"/>
          <w:szCs w:val="20"/>
        </w:rPr>
        <w:instrText xml:space="preserve"> TOC \h \z \c "Ilustración" </w:instrText>
      </w:r>
      <w:r w:rsidRPr="00382A62">
        <w:rPr>
          <w:rFonts w:cs="Arial"/>
          <w:szCs w:val="20"/>
        </w:rPr>
        <w:fldChar w:fldCharType="separate"/>
      </w:r>
      <w:hyperlink w:anchor="_Toc131094407" w:history="1">
        <w:r w:rsidR="00147CF2" w:rsidRPr="00382A62">
          <w:rPr>
            <w:rStyle w:val="Hipervnculo"/>
            <w:rFonts w:cs="Arial"/>
            <w:noProof/>
            <w:szCs w:val="20"/>
          </w:rPr>
          <w:t>Ilustración 1 - Junta Directiva vigente</w:t>
        </w:r>
        <w:r w:rsidR="00147CF2" w:rsidRPr="00382A62">
          <w:rPr>
            <w:rFonts w:cs="Arial"/>
            <w:noProof/>
            <w:webHidden/>
            <w:szCs w:val="20"/>
          </w:rPr>
          <w:tab/>
        </w:r>
        <w:r w:rsidR="00147CF2" w:rsidRPr="00382A62">
          <w:rPr>
            <w:rFonts w:cs="Arial"/>
            <w:noProof/>
            <w:webHidden/>
            <w:szCs w:val="20"/>
          </w:rPr>
          <w:fldChar w:fldCharType="begin"/>
        </w:r>
        <w:r w:rsidR="00147CF2" w:rsidRPr="00382A62">
          <w:rPr>
            <w:rFonts w:cs="Arial"/>
            <w:noProof/>
            <w:webHidden/>
            <w:szCs w:val="20"/>
          </w:rPr>
          <w:instrText xml:space="preserve"> PAGEREF _Toc131094407 \h </w:instrText>
        </w:r>
        <w:r w:rsidR="00147CF2" w:rsidRPr="00382A62">
          <w:rPr>
            <w:rFonts w:cs="Arial"/>
            <w:noProof/>
            <w:webHidden/>
            <w:szCs w:val="20"/>
          </w:rPr>
        </w:r>
        <w:r w:rsidR="00147CF2" w:rsidRPr="00382A62">
          <w:rPr>
            <w:rFonts w:cs="Arial"/>
            <w:noProof/>
            <w:webHidden/>
            <w:szCs w:val="20"/>
          </w:rPr>
          <w:fldChar w:fldCharType="separate"/>
        </w:r>
        <w:r w:rsidR="00C55BEC">
          <w:rPr>
            <w:rFonts w:cs="Arial"/>
            <w:noProof/>
            <w:webHidden/>
            <w:szCs w:val="20"/>
          </w:rPr>
          <w:t>87</w:t>
        </w:r>
        <w:r w:rsidR="00147CF2" w:rsidRPr="00382A62">
          <w:rPr>
            <w:rFonts w:cs="Arial"/>
            <w:noProof/>
            <w:webHidden/>
            <w:szCs w:val="20"/>
          </w:rPr>
          <w:fldChar w:fldCharType="end"/>
        </w:r>
      </w:hyperlink>
    </w:p>
    <w:p w14:paraId="41919C4E" w14:textId="61C9DAF9" w:rsidR="00712AEA" w:rsidRPr="00382A62" w:rsidRDefault="009208B2" w:rsidP="007B6956">
      <w:pPr>
        <w:jc w:val="left"/>
        <w:rPr>
          <w:rFonts w:cs="Arial"/>
          <w:szCs w:val="20"/>
        </w:rPr>
      </w:pPr>
      <w:r w:rsidRPr="00382A62">
        <w:rPr>
          <w:rFonts w:cs="Arial"/>
          <w:szCs w:val="20"/>
        </w:rPr>
        <w:fldChar w:fldCharType="end"/>
      </w:r>
    </w:p>
    <w:p w14:paraId="1FEEAA02" w14:textId="77777777" w:rsidR="00712AEA" w:rsidRPr="00382A62" w:rsidRDefault="00712AEA">
      <w:pPr>
        <w:spacing w:line="259" w:lineRule="auto"/>
        <w:jc w:val="left"/>
        <w:rPr>
          <w:rFonts w:cs="Arial"/>
          <w:szCs w:val="20"/>
        </w:rPr>
      </w:pPr>
      <w:r w:rsidRPr="00382A62">
        <w:rPr>
          <w:rFonts w:cs="Arial"/>
          <w:szCs w:val="20"/>
        </w:rPr>
        <w:br w:type="page"/>
      </w:r>
    </w:p>
    <w:p w14:paraId="55D2A070" w14:textId="6F7059C5" w:rsidR="007B6956" w:rsidRPr="00382A62" w:rsidRDefault="00207C6F" w:rsidP="007B6956">
      <w:pPr>
        <w:jc w:val="left"/>
        <w:rPr>
          <w:rFonts w:cs="Arial"/>
          <w:szCs w:val="20"/>
        </w:rPr>
      </w:pPr>
      <w:r w:rsidRPr="00382A62">
        <w:rPr>
          <w:rFonts w:cs="Arial"/>
          <w:noProof/>
          <w:szCs w:val="20"/>
        </w:rPr>
        <w:lastRenderedPageBreak/>
        <w:drawing>
          <wp:anchor distT="0" distB="0" distL="114300" distR="114300" simplePos="0" relativeHeight="251697152" behindDoc="1" locked="0" layoutInCell="1" allowOverlap="1" wp14:anchorId="0032C348" wp14:editId="7F1B4B22">
            <wp:simplePos x="0" y="0"/>
            <wp:positionH relativeFrom="column">
              <wp:posOffset>-675526</wp:posOffset>
            </wp:positionH>
            <wp:positionV relativeFrom="paragraph">
              <wp:posOffset>-914400</wp:posOffset>
            </wp:positionV>
            <wp:extent cx="7828908" cy="10093802"/>
            <wp:effectExtent l="0" t="0" r="1270" b="3175"/>
            <wp:wrapNone/>
            <wp:docPr id="8" name="Imagen 8"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Word&#10;&#10;Descripción generada automáticamente"/>
                    <pic:cNvPicPr/>
                  </pic:nvPicPr>
                  <pic:blipFill rotWithShape="1">
                    <a:blip r:embed="rId17">
                      <a:extLst>
                        <a:ext uri="{28A0092B-C50C-407E-A947-70E740481C1C}">
                          <a14:useLocalDpi xmlns:a14="http://schemas.microsoft.com/office/drawing/2010/main" val="0"/>
                        </a:ext>
                      </a:extLst>
                    </a:blip>
                    <a:srcRect l="68248" t="25682" r="18298" b="12654"/>
                    <a:stretch/>
                  </pic:blipFill>
                  <pic:spPr bwMode="auto">
                    <a:xfrm>
                      <a:off x="0" y="0"/>
                      <a:ext cx="7853702" cy="101257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26229F" w14:textId="206A2635" w:rsidR="007B6956" w:rsidRPr="00382A62" w:rsidRDefault="007B6956" w:rsidP="007B6956">
      <w:pPr>
        <w:jc w:val="left"/>
        <w:rPr>
          <w:rFonts w:cs="Arial"/>
          <w:szCs w:val="20"/>
        </w:rPr>
      </w:pPr>
    </w:p>
    <w:p w14:paraId="740AEFC5" w14:textId="77777777" w:rsidR="007B6956" w:rsidRPr="00382A62" w:rsidRDefault="007B6956" w:rsidP="007B6956">
      <w:pPr>
        <w:jc w:val="left"/>
        <w:rPr>
          <w:rFonts w:cs="Arial"/>
          <w:szCs w:val="20"/>
        </w:rPr>
      </w:pPr>
    </w:p>
    <w:p w14:paraId="629D59BE" w14:textId="2D1850A7" w:rsidR="007B6956" w:rsidRPr="00382A62" w:rsidRDefault="007B6956" w:rsidP="007B6956">
      <w:pPr>
        <w:jc w:val="left"/>
        <w:rPr>
          <w:rFonts w:cs="Arial"/>
          <w:szCs w:val="20"/>
        </w:rPr>
      </w:pPr>
    </w:p>
    <w:p w14:paraId="4988AD8F" w14:textId="166F3D14" w:rsidR="007B6956" w:rsidRPr="00382A62" w:rsidRDefault="007B6956" w:rsidP="007B6956">
      <w:pPr>
        <w:jc w:val="left"/>
        <w:rPr>
          <w:rFonts w:cs="Arial"/>
          <w:szCs w:val="20"/>
        </w:rPr>
      </w:pPr>
    </w:p>
    <w:p w14:paraId="1B771121" w14:textId="724C2D3C" w:rsidR="007B6956" w:rsidRPr="00382A62" w:rsidRDefault="007B6956" w:rsidP="007B6956">
      <w:pPr>
        <w:jc w:val="left"/>
        <w:rPr>
          <w:rFonts w:cs="Arial"/>
          <w:szCs w:val="20"/>
        </w:rPr>
      </w:pPr>
    </w:p>
    <w:p w14:paraId="41D8F215" w14:textId="66BDC565" w:rsidR="007B6956" w:rsidRPr="00382A62" w:rsidRDefault="007B6956" w:rsidP="007B6956">
      <w:pPr>
        <w:jc w:val="left"/>
        <w:rPr>
          <w:rFonts w:cs="Arial"/>
          <w:szCs w:val="20"/>
        </w:rPr>
      </w:pPr>
    </w:p>
    <w:p w14:paraId="3ACBFA54" w14:textId="2660B51F" w:rsidR="007B6956" w:rsidRPr="00382A62" w:rsidRDefault="007B6956" w:rsidP="007B6956">
      <w:pPr>
        <w:jc w:val="left"/>
        <w:rPr>
          <w:rFonts w:cs="Arial"/>
          <w:szCs w:val="20"/>
        </w:rPr>
      </w:pPr>
    </w:p>
    <w:p w14:paraId="550AE6EB" w14:textId="77777777" w:rsidR="007B6956" w:rsidRPr="00382A62" w:rsidRDefault="007B6956" w:rsidP="007B6956">
      <w:pPr>
        <w:jc w:val="left"/>
        <w:rPr>
          <w:rFonts w:cs="Arial"/>
          <w:szCs w:val="20"/>
        </w:rPr>
      </w:pPr>
    </w:p>
    <w:p w14:paraId="1E49A19C" w14:textId="0E781A54" w:rsidR="007B6956" w:rsidRPr="00382A62" w:rsidRDefault="007B6956" w:rsidP="007B6956">
      <w:pPr>
        <w:jc w:val="left"/>
        <w:rPr>
          <w:rFonts w:cs="Arial"/>
          <w:szCs w:val="20"/>
        </w:rPr>
      </w:pPr>
    </w:p>
    <w:p w14:paraId="09C9A827" w14:textId="2B8C9212" w:rsidR="007B6956" w:rsidRPr="00382A62" w:rsidRDefault="007B6956" w:rsidP="007B6956">
      <w:pPr>
        <w:jc w:val="left"/>
        <w:rPr>
          <w:rFonts w:cs="Arial"/>
          <w:szCs w:val="20"/>
        </w:rPr>
      </w:pPr>
    </w:p>
    <w:p w14:paraId="1D0B8E25" w14:textId="77777777" w:rsidR="007B6956" w:rsidRPr="00382A62" w:rsidRDefault="007B6956" w:rsidP="007B6956">
      <w:pPr>
        <w:jc w:val="left"/>
        <w:rPr>
          <w:rFonts w:cs="Arial"/>
          <w:szCs w:val="20"/>
        </w:rPr>
      </w:pPr>
    </w:p>
    <w:p w14:paraId="5F58EF97" w14:textId="77777777" w:rsidR="000867A1" w:rsidRPr="00382A62" w:rsidRDefault="000867A1" w:rsidP="007B6956">
      <w:pPr>
        <w:jc w:val="left"/>
        <w:rPr>
          <w:rFonts w:cs="Arial"/>
          <w:szCs w:val="20"/>
        </w:rPr>
      </w:pPr>
    </w:p>
    <w:p w14:paraId="4902BE8E" w14:textId="77777777" w:rsidR="007B159B" w:rsidRPr="00382A62" w:rsidRDefault="007B159B" w:rsidP="00616FC4">
      <w:pPr>
        <w:pStyle w:val="Ttulo1"/>
        <w:rPr>
          <w:rFonts w:cs="Arial"/>
          <w:sz w:val="20"/>
          <w:szCs w:val="20"/>
        </w:rPr>
      </w:pPr>
    </w:p>
    <w:p w14:paraId="7C3B4DFF" w14:textId="77777777" w:rsidR="007B159B" w:rsidRPr="00382A62" w:rsidRDefault="007B159B" w:rsidP="00616FC4">
      <w:pPr>
        <w:pStyle w:val="Ttulo1"/>
        <w:rPr>
          <w:rFonts w:cs="Arial"/>
          <w:sz w:val="20"/>
          <w:szCs w:val="20"/>
        </w:rPr>
      </w:pPr>
    </w:p>
    <w:p w14:paraId="71EC5F00" w14:textId="4645BB9D" w:rsidR="007C05BE" w:rsidRPr="0099549C" w:rsidRDefault="00751451" w:rsidP="00616FC4">
      <w:pPr>
        <w:pStyle w:val="Ttulo1"/>
        <w:rPr>
          <w:rFonts w:cs="Arial"/>
          <w:sz w:val="44"/>
          <w:szCs w:val="44"/>
        </w:rPr>
      </w:pPr>
      <w:bookmarkStart w:id="14" w:name="_Toc131501057"/>
      <w:bookmarkStart w:id="15" w:name="_Toc169624616"/>
      <w:r w:rsidRPr="0099549C">
        <w:rPr>
          <w:rFonts w:cs="Arial"/>
          <w:sz w:val="44"/>
          <w:szCs w:val="44"/>
        </w:rPr>
        <w:t>C</w:t>
      </w:r>
      <w:r w:rsidR="005A4AFB" w:rsidRPr="0099549C">
        <w:rPr>
          <w:rFonts w:cs="Arial"/>
          <w:sz w:val="44"/>
          <w:szCs w:val="44"/>
        </w:rPr>
        <w:t>apítulo 1</w:t>
      </w:r>
      <w:r w:rsidR="00F62BBF" w:rsidRPr="0099549C">
        <w:rPr>
          <w:rFonts w:cs="Arial"/>
          <w:sz w:val="44"/>
          <w:szCs w:val="44"/>
        </w:rPr>
        <w:t>.</w:t>
      </w:r>
      <w:bookmarkEnd w:id="14"/>
      <w:bookmarkEnd w:id="15"/>
    </w:p>
    <w:p w14:paraId="14057977" w14:textId="77777777" w:rsidR="007C05BE" w:rsidRPr="0099549C" w:rsidRDefault="00A97EC5" w:rsidP="00956394">
      <w:pPr>
        <w:pStyle w:val="Ttulo1"/>
        <w:rPr>
          <w:rFonts w:cs="Arial"/>
          <w:sz w:val="44"/>
          <w:szCs w:val="44"/>
        </w:rPr>
      </w:pPr>
      <w:bookmarkStart w:id="16" w:name="_Toc131501058"/>
      <w:bookmarkStart w:id="17" w:name="_Toc169624617"/>
      <w:r w:rsidRPr="0099549C">
        <w:rPr>
          <w:rFonts w:cs="Arial"/>
          <w:sz w:val="44"/>
          <w:szCs w:val="44"/>
        </w:rPr>
        <w:t>Información sobre las emisiones, la oferta e identificación de los directores, gerentes y asesores involucrados con el proceso de oferta pública</w:t>
      </w:r>
      <w:bookmarkEnd w:id="16"/>
      <w:bookmarkEnd w:id="17"/>
    </w:p>
    <w:p w14:paraId="3BC138DE" w14:textId="77777777" w:rsidR="00C61345" w:rsidRDefault="00C61345" w:rsidP="00C61345"/>
    <w:p w14:paraId="28F79266" w14:textId="77777777" w:rsidR="00C61345" w:rsidRDefault="00C61345" w:rsidP="00C61345"/>
    <w:p w14:paraId="13F980C6" w14:textId="77777777" w:rsidR="007605E6" w:rsidRPr="00382A62" w:rsidRDefault="007605E6" w:rsidP="007605E6">
      <w:pPr>
        <w:pStyle w:val="Ttulo2"/>
        <w:numPr>
          <w:ilvl w:val="0"/>
          <w:numId w:val="8"/>
        </w:numPr>
        <w:rPr>
          <w:rFonts w:cs="Arial"/>
          <w:sz w:val="20"/>
          <w:szCs w:val="20"/>
        </w:rPr>
      </w:pPr>
      <w:bookmarkStart w:id="18" w:name="_Toc131092860"/>
      <w:bookmarkStart w:id="19" w:name="_Toc131501059"/>
      <w:bookmarkStart w:id="20" w:name="_Toc169624618"/>
      <w:r w:rsidRPr="00382A62">
        <w:rPr>
          <w:rFonts w:cs="Arial"/>
          <w:sz w:val="20"/>
          <w:szCs w:val="20"/>
        </w:rPr>
        <w:lastRenderedPageBreak/>
        <w:t>Información sobre las emisiones</w:t>
      </w:r>
      <w:bookmarkEnd w:id="18"/>
      <w:bookmarkEnd w:id="19"/>
      <w:bookmarkEnd w:id="20"/>
    </w:p>
    <w:p w14:paraId="65CDF5BB" w14:textId="77777777" w:rsidR="007605E6" w:rsidRPr="00382A62" w:rsidRDefault="007605E6" w:rsidP="007605E6">
      <w:pPr>
        <w:rPr>
          <w:rFonts w:cs="Arial"/>
          <w:szCs w:val="20"/>
        </w:rPr>
      </w:pPr>
      <w:r w:rsidRPr="00382A62">
        <w:rPr>
          <w:rFonts w:cs="Arial"/>
          <w:szCs w:val="20"/>
        </w:rPr>
        <w:t>Florida Ice and Farm Company, S.A. (“FIFCO” o “la Compañía”) se encuentra inscrita en la Bolsa Nacional de Valores desde el año 1979 y cuenta con autorización para transar dos tipos de títulos: acciones y papel de deuda o bonos.</w:t>
      </w:r>
    </w:p>
    <w:p w14:paraId="295903EA" w14:textId="77777777" w:rsidR="007605E6" w:rsidRPr="00382A62" w:rsidRDefault="007605E6" w:rsidP="007605E6">
      <w:pPr>
        <w:pStyle w:val="Ttulo3"/>
        <w:numPr>
          <w:ilvl w:val="1"/>
          <w:numId w:val="8"/>
        </w:numPr>
        <w:rPr>
          <w:rFonts w:cs="Arial"/>
          <w:sz w:val="20"/>
          <w:szCs w:val="20"/>
        </w:rPr>
      </w:pPr>
      <w:bookmarkStart w:id="21" w:name="_Toc131092861"/>
      <w:bookmarkStart w:id="22" w:name="_Toc131501060"/>
      <w:bookmarkStart w:id="23" w:name="_Toc169624619"/>
      <w:r w:rsidRPr="00382A62">
        <w:rPr>
          <w:rFonts w:cs="Arial"/>
          <w:sz w:val="20"/>
          <w:szCs w:val="20"/>
        </w:rPr>
        <w:t>Emisiones de Deuda</w:t>
      </w:r>
      <w:bookmarkEnd w:id="21"/>
      <w:bookmarkEnd w:id="22"/>
      <w:bookmarkEnd w:id="23"/>
    </w:p>
    <w:p w14:paraId="56F800F2" w14:textId="4B38B439" w:rsidR="007605E6" w:rsidRPr="00382A62" w:rsidRDefault="007605E6" w:rsidP="007605E6">
      <w:pPr>
        <w:rPr>
          <w:rFonts w:cs="Arial"/>
          <w:szCs w:val="20"/>
        </w:rPr>
      </w:pPr>
      <w:r w:rsidRPr="00382A62">
        <w:rPr>
          <w:rFonts w:cs="Arial"/>
          <w:szCs w:val="20"/>
        </w:rPr>
        <w:t>A la fecha, FIFCO tiene aprobad</w:t>
      </w:r>
      <w:r w:rsidR="0047495E">
        <w:rPr>
          <w:rFonts w:cs="Arial"/>
          <w:szCs w:val="20"/>
        </w:rPr>
        <w:t>o</w:t>
      </w:r>
      <w:r w:rsidRPr="00382A62">
        <w:rPr>
          <w:rFonts w:cs="Arial"/>
          <w:szCs w:val="20"/>
        </w:rPr>
        <w:t xml:space="preserve">s </w:t>
      </w:r>
      <w:r w:rsidR="0047495E">
        <w:rPr>
          <w:rFonts w:cs="Arial"/>
          <w:szCs w:val="20"/>
        </w:rPr>
        <w:t>2</w:t>
      </w:r>
      <w:r w:rsidR="0047495E" w:rsidRPr="00382A62">
        <w:rPr>
          <w:rFonts w:cs="Arial"/>
          <w:szCs w:val="20"/>
        </w:rPr>
        <w:t xml:space="preserve"> </w:t>
      </w:r>
      <w:r w:rsidR="0047495E">
        <w:rPr>
          <w:rFonts w:cs="Arial"/>
          <w:szCs w:val="20"/>
        </w:rPr>
        <w:t xml:space="preserve">Programas de bonos y bajo uno de ellos mantiene 2 </w:t>
      </w:r>
      <w:r w:rsidRPr="00382A62">
        <w:rPr>
          <w:rFonts w:cs="Arial"/>
          <w:szCs w:val="20"/>
        </w:rPr>
        <w:t xml:space="preserve">emisiones de bonos estandarizados en colones </w:t>
      </w:r>
      <w:r w:rsidR="0047495E">
        <w:rPr>
          <w:rFonts w:cs="Arial"/>
          <w:szCs w:val="20"/>
        </w:rPr>
        <w:t xml:space="preserve">vigentes, </w:t>
      </w:r>
      <w:r w:rsidRPr="00382A62">
        <w:rPr>
          <w:rFonts w:cs="Arial"/>
          <w:szCs w:val="20"/>
        </w:rPr>
        <w:t>cuyas principales características se presentan a continuación:</w:t>
      </w:r>
    </w:p>
    <w:p w14:paraId="04785131" w14:textId="34265FA4" w:rsidR="00C4579C" w:rsidRPr="00382A62" w:rsidRDefault="00EB1060" w:rsidP="00C4579C">
      <w:pPr>
        <w:pStyle w:val="Descripcin"/>
        <w:keepNext/>
        <w:spacing w:line="276" w:lineRule="auto"/>
        <w:rPr>
          <w:rFonts w:cs="Arial"/>
          <w:szCs w:val="20"/>
        </w:rPr>
      </w:pPr>
      <w:bookmarkStart w:id="24" w:name="_Toc169624697"/>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w:t>
      </w:r>
      <w:r w:rsidR="00423C23" w:rsidRPr="00382A62">
        <w:rPr>
          <w:rFonts w:cs="Arial"/>
          <w:noProof/>
          <w:szCs w:val="20"/>
        </w:rPr>
        <w:fldChar w:fldCharType="end"/>
      </w:r>
      <w:r w:rsidRPr="00382A62">
        <w:rPr>
          <w:rFonts w:cs="Arial"/>
          <w:szCs w:val="20"/>
        </w:rPr>
        <w:t xml:space="preserve"> - Programas de Bonos Estandarizados Vigentes</w:t>
      </w:r>
      <w:bookmarkEnd w:id="24"/>
    </w:p>
    <w:tbl>
      <w:tblPr>
        <w:tblW w:w="5000" w:type="pct"/>
        <w:tblCellMar>
          <w:left w:w="70" w:type="dxa"/>
          <w:right w:w="70" w:type="dxa"/>
        </w:tblCellMar>
        <w:tblLook w:val="04A0" w:firstRow="1" w:lastRow="0" w:firstColumn="1" w:lastColumn="0" w:noHBand="0" w:noVBand="1"/>
      </w:tblPr>
      <w:tblGrid>
        <w:gridCol w:w="3354"/>
        <w:gridCol w:w="3353"/>
        <w:gridCol w:w="3353"/>
      </w:tblGrid>
      <w:tr w:rsidR="006540AD" w:rsidRPr="00382A62" w14:paraId="7A275A03" w14:textId="77777777" w:rsidTr="00206F96">
        <w:trPr>
          <w:trHeight w:val="926"/>
        </w:trPr>
        <w:tc>
          <w:tcPr>
            <w:tcW w:w="3354" w:type="dxa"/>
            <w:vMerge w:val="restart"/>
            <w:tcBorders>
              <w:top w:val="single" w:sz="8" w:space="0" w:color="999999"/>
              <w:left w:val="single" w:sz="8" w:space="0" w:color="999999"/>
              <w:bottom w:val="single" w:sz="12" w:space="0" w:color="666666"/>
              <w:right w:val="single" w:sz="8" w:space="0" w:color="999999"/>
            </w:tcBorders>
            <w:shd w:val="clear" w:color="000000" w:fill="E7E6E6"/>
            <w:vAlign w:val="center"/>
            <w:hideMark/>
          </w:tcPr>
          <w:p w14:paraId="20B22540"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Programa</w:t>
            </w:r>
          </w:p>
        </w:tc>
        <w:tc>
          <w:tcPr>
            <w:tcW w:w="3353" w:type="dxa"/>
            <w:tcBorders>
              <w:top w:val="single" w:sz="8" w:space="0" w:color="999999"/>
              <w:left w:val="nil"/>
              <w:bottom w:val="nil"/>
              <w:right w:val="single" w:sz="8" w:space="0" w:color="999999"/>
            </w:tcBorders>
            <w:shd w:val="clear" w:color="auto" w:fill="auto"/>
            <w:vAlign w:val="center"/>
            <w:hideMark/>
          </w:tcPr>
          <w:p w14:paraId="6D4BD460" w14:textId="77777777" w:rsidR="00C4579C" w:rsidRPr="00382A62" w:rsidRDefault="00C4579C" w:rsidP="00C4579C">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Programa de Emisión de Bonos Estandarizados</w:t>
            </w:r>
          </w:p>
        </w:tc>
        <w:tc>
          <w:tcPr>
            <w:tcW w:w="3353" w:type="dxa"/>
            <w:tcBorders>
              <w:top w:val="single" w:sz="8" w:space="0" w:color="999999"/>
              <w:left w:val="nil"/>
              <w:bottom w:val="nil"/>
              <w:right w:val="single" w:sz="8" w:space="0" w:color="999999"/>
            </w:tcBorders>
            <w:shd w:val="clear" w:color="auto" w:fill="auto"/>
            <w:vAlign w:val="center"/>
            <w:hideMark/>
          </w:tcPr>
          <w:p w14:paraId="111F55B2" w14:textId="77777777" w:rsidR="00C4579C" w:rsidRPr="00382A62" w:rsidRDefault="00C4579C" w:rsidP="00C4579C">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 xml:space="preserve">Programa de Emisión de Bonos Estandarizados </w:t>
            </w:r>
          </w:p>
        </w:tc>
      </w:tr>
      <w:tr w:rsidR="006540AD" w:rsidRPr="00382A62" w14:paraId="313A1B61" w14:textId="77777777" w:rsidTr="00206F96">
        <w:trPr>
          <w:trHeight w:val="30"/>
        </w:trPr>
        <w:tc>
          <w:tcPr>
            <w:tcW w:w="3354" w:type="dxa"/>
            <w:vMerge/>
            <w:tcBorders>
              <w:top w:val="single" w:sz="8" w:space="0" w:color="999999"/>
              <w:left w:val="single" w:sz="8" w:space="0" w:color="999999"/>
              <w:bottom w:val="single" w:sz="12" w:space="0" w:color="666666"/>
              <w:right w:val="single" w:sz="8" w:space="0" w:color="999999"/>
            </w:tcBorders>
            <w:vAlign w:val="center"/>
            <w:hideMark/>
          </w:tcPr>
          <w:p w14:paraId="52B528D0" w14:textId="77777777" w:rsidR="00C4579C" w:rsidRPr="00382A62" w:rsidRDefault="00C4579C" w:rsidP="00C4579C">
            <w:pPr>
              <w:spacing w:after="0" w:line="240" w:lineRule="auto"/>
              <w:jc w:val="left"/>
              <w:rPr>
                <w:rFonts w:eastAsia="Times New Roman" w:cs="Arial"/>
                <w:b/>
                <w:bCs/>
                <w:color w:val="000000"/>
                <w:szCs w:val="20"/>
                <w:lang w:val="es-419" w:eastAsia="es-419"/>
              </w:rPr>
            </w:pPr>
          </w:p>
        </w:tc>
        <w:tc>
          <w:tcPr>
            <w:tcW w:w="3353" w:type="dxa"/>
            <w:tcBorders>
              <w:top w:val="nil"/>
              <w:left w:val="nil"/>
              <w:bottom w:val="single" w:sz="12" w:space="0" w:color="666666"/>
              <w:right w:val="single" w:sz="8" w:space="0" w:color="999999"/>
            </w:tcBorders>
            <w:shd w:val="clear" w:color="auto" w:fill="auto"/>
            <w:vAlign w:val="center"/>
            <w:hideMark/>
          </w:tcPr>
          <w:p w14:paraId="0AEB99FE" w14:textId="3BBE9E81" w:rsidR="00C4579C" w:rsidRPr="00382A62" w:rsidRDefault="00C4579C" w:rsidP="00C4579C">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 xml:space="preserve"> F-2019 en </w:t>
            </w:r>
            <w:r w:rsidR="00E702E6" w:rsidRPr="00382A62">
              <w:rPr>
                <w:rFonts w:eastAsia="Times New Roman" w:cs="Arial"/>
                <w:b/>
                <w:bCs/>
                <w:color w:val="000000"/>
                <w:szCs w:val="20"/>
                <w:lang w:eastAsia="es-419"/>
              </w:rPr>
              <w:t>colones</w:t>
            </w:r>
          </w:p>
        </w:tc>
        <w:tc>
          <w:tcPr>
            <w:tcW w:w="3353" w:type="dxa"/>
            <w:tcBorders>
              <w:top w:val="nil"/>
              <w:left w:val="nil"/>
              <w:bottom w:val="single" w:sz="12" w:space="0" w:color="666666"/>
              <w:right w:val="single" w:sz="8" w:space="0" w:color="999999"/>
            </w:tcBorders>
            <w:shd w:val="clear" w:color="auto" w:fill="auto"/>
            <w:vAlign w:val="center"/>
            <w:hideMark/>
          </w:tcPr>
          <w:p w14:paraId="0B7F645E" w14:textId="77777777" w:rsidR="00C4579C" w:rsidRPr="00382A62" w:rsidRDefault="00C4579C" w:rsidP="00C4579C">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G-2020</w:t>
            </w:r>
          </w:p>
        </w:tc>
      </w:tr>
      <w:tr w:rsidR="006540AD" w:rsidRPr="00382A62" w14:paraId="6FD8A140" w14:textId="77777777" w:rsidTr="00206F96">
        <w:trPr>
          <w:trHeight w:val="757"/>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1D3918AE"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Acuerdos de autorización SUGEVAL</w:t>
            </w:r>
          </w:p>
        </w:tc>
        <w:tc>
          <w:tcPr>
            <w:tcW w:w="3353" w:type="dxa"/>
            <w:tcBorders>
              <w:top w:val="nil"/>
              <w:left w:val="nil"/>
              <w:bottom w:val="single" w:sz="8" w:space="0" w:color="999999"/>
              <w:right w:val="single" w:sz="8" w:space="0" w:color="999999"/>
            </w:tcBorders>
            <w:shd w:val="clear" w:color="auto" w:fill="auto"/>
            <w:vAlign w:val="center"/>
            <w:hideMark/>
          </w:tcPr>
          <w:p w14:paraId="327486C8"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SGV-R-3411 del 20 de febrero de 2019</w:t>
            </w:r>
          </w:p>
        </w:tc>
        <w:tc>
          <w:tcPr>
            <w:tcW w:w="3353" w:type="dxa"/>
            <w:tcBorders>
              <w:top w:val="nil"/>
              <w:left w:val="nil"/>
              <w:bottom w:val="single" w:sz="8" w:space="0" w:color="999999"/>
              <w:right w:val="single" w:sz="8" w:space="0" w:color="999999"/>
            </w:tcBorders>
            <w:shd w:val="clear" w:color="auto" w:fill="auto"/>
            <w:vAlign w:val="center"/>
            <w:hideMark/>
          </w:tcPr>
          <w:p w14:paraId="3B6369A5"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SGV-R-3587 del 23 de octubre de 2020</w:t>
            </w:r>
          </w:p>
        </w:tc>
      </w:tr>
      <w:tr w:rsidR="00206F96" w:rsidRPr="00382A62" w14:paraId="3E53781D" w14:textId="77777777" w:rsidTr="00206F96">
        <w:trPr>
          <w:trHeight w:val="706"/>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64AF0AEF" w14:textId="77777777" w:rsidR="00206F96" w:rsidRPr="00382A62" w:rsidRDefault="00206F96"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Monto global del programa y moneda:</w:t>
            </w:r>
          </w:p>
        </w:tc>
        <w:tc>
          <w:tcPr>
            <w:tcW w:w="3353" w:type="dxa"/>
            <w:tcBorders>
              <w:top w:val="nil"/>
              <w:left w:val="nil"/>
              <w:bottom w:val="single" w:sz="4" w:space="0" w:color="auto"/>
              <w:right w:val="single" w:sz="8" w:space="0" w:color="999999"/>
            </w:tcBorders>
            <w:shd w:val="clear" w:color="auto" w:fill="auto"/>
            <w:vAlign w:val="center"/>
          </w:tcPr>
          <w:p w14:paraId="2A43683D" w14:textId="79C81EED" w:rsidR="00206F96" w:rsidRPr="00382A62" w:rsidRDefault="00206F96" w:rsidP="00C4579C">
            <w:pPr>
              <w:spacing w:after="0" w:line="240" w:lineRule="auto"/>
              <w:jc w:val="center"/>
              <w:rPr>
                <w:rFonts w:eastAsia="Times New Roman" w:cs="Arial"/>
                <w:color w:val="000000"/>
                <w:szCs w:val="20"/>
                <w:lang w:eastAsia="es-419"/>
              </w:rPr>
            </w:pPr>
            <w:r w:rsidRPr="00382A62">
              <w:rPr>
                <w:rFonts w:eastAsia="Times New Roman" w:cs="Arial"/>
                <w:color w:val="000000"/>
                <w:szCs w:val="20"/>
                <w:lang w:eastAsia="es-419"/>
              </w:rPr>
              <w:t>¢50.000.000.000 (Colones)</w:t>
            </w:r>
          </w:p>
        </w:tc>
        <w:tc>
          <w:tcPr>
            <w:tcW w:w="3353" w:type="dxa"/>
            <w:tcBorders>
              <w:top w:val="nil"/>
              <w:left w:val="single" w:sz="8" w:space="0" w:color="999999"/>
              <w:bottom w:val="single" w:sz="8" w:space="0" w:color="999999"/>
              <w:right w:val="single" w:sz="8" w:space="0" w:color="999999"/>
            </w:tcBorders>
            <w:shd w:val="clear" w:color="auto" w:fill="auto"/>
            <w:vAlign w:val="center"/>
            <w:hideMark/>
          </w:tcPr>
          <w:p w14:paraId="7702B7D6" w14:textId="77777777" w:rsidR="00206F96" w:rsidRPr="00382A62" w:rsidRDefault="00206F96"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¢75.000.000.000 (Colones)</w:t>
            </w:r>
          </w:p>
        </w:tc>
      </w:tr>
      <w:tr w:rsidR="006540AD" w:rsidRPr="00382A62" w14:paraId="43D2B9BF" w14:textId="77777777" w:rsidTr="00206F96">
        <w:trPr>
          <w:trHeight w:val="241"/>
        </w:trPr>
        <w:tc>
          <w:tcPr>
            <w:tcW w:w="3354" w:type="dxa"/>
            <w:tcBorders>
              <w:top w:val="nil"/>
              <w:left w:val="single" w:sz="8" w:space="0" w:color="999999"/>
              <w:bottom w:val="single" w:sz="8" w:space="0" w:color="999999"/>
              <w:right w:val="single" w:sz="4" w:space="0" w:color="auto"/>
            </w:tcBorders>
            <w:shd w:val="clear" w:color="000000" w:fill="E7E6E6"/>
            <w:vAlign w:val="center"/>
            <w:hideMark/>
          </w:tcPr>
          <w:p w14:paraId="1247586D" w14:textId="77777777" w:rsidR="00C4579C" w:rsidRPr="0012450F" w:rsidRDefault="00C4579C" w:rsidP="00C4579C">
            <w:pPr>
              <w:spacing w:after="0" w:line="240" w:lineRule="auto"/>
              <w:jc w:val="left"/>
              <w:rPr>
                <w:rFonts w:eastAsia="Times New Roman" w:cs="Arial"/>
                <w:b/>
                <w:bCs/>
                <w:color w:val="000000"/>
                <w:szCs w:val="20"/>
                <w:lang w:val="es-419" w:eastAsia="es-419"/>
              </w:rPr>
            </w:pPr>
            <w:r w:rsidRPr="0012450F">
              <w:rPr>
                <w:rFonts w:eastAsia="Times New Roman" w:cs="Arial"/>
                <w:b/>
                <w:bCs/>
                <w:szCs w:val="20"/>
                <w:lang w:eastAsia="es-419"/>
              </w:rPr>
              <w:t>Monto emitido:</w:t>
            </w:r>
          </w:p>
        </w:tc>
        <w:tc>
          <w:tcPr>
            <w:tcW w:w="3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803D8" w14:textId="77777777" w:rsidR="00C4579C" w:rsidRPr="0012450F" w:rsidRDefault="00C4579C" w:rsidP="00C4579C">
            <w:pPr>
              <w:spacing w:after="0" w:line="240" w:lineRule="auto"/>
              <w:jc w:val="center"/>
              <w:rPr>
                <w:rFonts w:eastAsia="Times New Roman" w:cs="Arial"/>
                <w:color w:val="000000"/>
                <w:szCs w:val="20"/>
                <w:lang w:eastAsia="es-419"/>
              </w:rPr>
            </w:pPr>
            <w:r w:rsidRPr="0012450F">
              <w:rPr>
                <w:rFonts w:eastAsia="Times New Roman" w:cs="Arial"/>
                <w:color w:val="000000"/>
                <w:szCs w:val="20"/>
                <w:lang w:eastAsia="es-419"/>
              </w:rPr>
              <w:t>¢50.000.000.000</w:t>
            </w:r>
          </w:p>
        </w:tc>
        <w:tc>
          <w:tcPr>
            <w:tcW w:w="3353" w:type="dxa"/>
            <w:tcBorders>
              <w:top w:val="nil"/>
              <w:left w:val="single" w:sz="4" w:space="0" w:color="auto"/>
              <w:bottom w:val="single" w:sz="8" w:space="0" w:color="999999"/>
              <w:right w:val="single" w:sz="8" w:space="0" w:color="999999"/>
            </w:tcBorders>
            <w:shd w:val="clear" w:color="auto" w:fill="auto"/>
            <w:vAlign w:val="center"/>
            <w:hideMark/>
          </w:tcPr>
          <w:p w14:paraId="725862C9" w14:textId="77777777" w:rsidR="00C4579C" w:rsidRPr="0012450F" w:rsidRDefault="00C4579C" w:rsidP="00C4579C">
            <w:pPr>
              <w:spacing w:after="0" w:line="240" w:lineRule="auto"/>
              <w:jc w:val="center"/>
              <w:rPr>
                <w:rFonts w:eastAsia="Times New Roman" w:cs="Arial"/>
                <w:color w:val="000000"/>
                <w:szCs w:val="20"/>
                <w:lang w:eastAsia="es-419"/>
              </w:rPr>
            </w:pPr>
            <w:r w:rsidRPr="0012450F">
              <w:rPr>
                <w:rFonts w:eastAsia="Times New Roman" w:cs="Arial"/>
                <w:color w:val="000000"/>
                <w:szCs w:val="20"/>
                <w:lang w:eastAsia="es-419"/>
              </w:rPr>
              <w:t>¢0</w:t>
            </w:r>
          </w:p>
        </w:tc>
      </w:tr>
      <w:tr w:rsidR="006540AD" w:rsidRPr="00382A62" w14:paraId="1881F94D" w14:textId="77777777" w:rsidTr="00206F96">
        <w:trPr>
          <w:trHeight w:val="378"/>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062CB0A1" w14:textId="77777777" w:rsidR="00C4579C" w:rsidRPr="002353EB" w:rsidRDefault="00C4579C" w:rsidP="00C4579C">
            <w:pPr>
              <w:spacing w:after="0" w:line="240" w:lineRule="auto"/>
              <w:jc w:val="left"/>
              <w:rPr>
                <w:rFonts w:eastAsia="Times New Roman" w:cs="Arial"/>
                <w:b/>
                <w:bCs/>
                <w:color w:val="000000"/>
                <w:szCs w:val="20"/>
                <w:lang w:val="es-419" w:eastAsia="es-419"/>
              </w:rPr>
            </w:pPr>
            <w:r w:rsidRPr="002353EB">
              <w:rPr>
                <w:rFonts w:eastAsia="Times New Roman" w:cs="Arial"/>
                <w:b/>
                <w:bCs/>
                <w:szCs w:val="20"/>
                <w:lang w:eastAsia="es-419"/>
              </w:rPr>
              <w:t>Monto disponible:</w:t>
            </w:r>
          </w:p>
        </w:tc>
        <w:tc>
          <w:tcPr>
            <w:tcW w:w="3353" w:type="dxa"/>
            <w:tcBorders>
              <w:top w:val="single" w:sz="4" w:space="0" w:color="auto"/>
              <w:left w:val="nil"/>
              <w:bottom w:val="single" w:sz="8" w:space="0" w:color="999999"/>
              <w:right w:val="single" w:sz="8" w:space="0" w:color="999999"/>
            </w:tcBorders>
            <w:shd w:val="clear" w:color="auto" w:fill="auto"/>
            <w:vAlign w:val="center"/>
            <w:hideMark/>
          </w:tcPr>
          <w:p w14:paraId="7B80B49A" w14:textId="77777777" w:rsidR="00C4579C" w:rsidRPr="002353EB" w:rsidRDefault="00C4579C" w:rsidP="00C4579C">
            <w:pPr>
              <w:spacing w:after="0" w:line="240" w:lineRule="auto"/>
              <w:jc w:val="center"/>
              <w:rPr>
                <w:rFonts w:eastAsia="Times New Roman" w:cs="Arial"/>
                <w:color w:val="000000"/>
                <w:szCs w:val="20"/>
                <w:lang w:val="es-419" w:eastAsia="es-419"/>
              </w:rPr>
            </w:pPr>
            <w:r w:rsidRPr="002353EB">
              <w:rPr>
                <w:rFonts w:eastAsia="Times New Roman" w:cs="Arial"/>
                <w:color w:val="000000"/>
                <w:szCs w:val="20"/>
                <w:lang w:eastAsia="es-419"/>
              </w:rPr>
              <w:t>¢0</w:t>
            </w:r>
          </w:p>
        </w:tc>
        <w:tc>
          <w:tcPr>
            <w:tcW w:w="3353" w:type="dxa"/>
            <w:tcBorders>
              <w:top w:val="nil"/>
              <w:left w:val="nil"/>
              <w:bottom w:val="single" w:sz="8" w:space="0" w:color="999999"/>
              <w:right w:val="single" w:sz="8" w:space="0" w:color="999999"/>
            </w:tcBorders>
            <w:shd w:val="clear" w:color="auto" w:fill="auto"/>
            <w:vAlign w:val="center"/>
            <w:hideMark/>
          </w:tcPr>
          <w:p w14:paraId="139D66EB" w14:textId="77777777" w:rsidR="00C4579C" w:rsidRPr="002353EB" w:rsidRDefault="00C4579C" w:rsidP="00C4579C">
            <w:pPr>
              <w:spacing w:after="0" w:line="240" w:lineRule="auto"/>
              <w:jc w:val="center"/>
              <w:rPr>
                <w:rFonts w:eastAsia="Times New Roman" w:cs="Arial"/>
                <w:color w:val="000000"/>
                <w:szCs w:val="20"/>
                <w:lang w:val="es-419" w:eastAsia="es-419"/>
              </w:rPr>
            </w:pPr>
            <w:r w:rsidRPr="002353EB">
              <w:rPr>
                <w:rFonts w:eastAsia="Times New Roman" w:cs="Arial"/>
                <w:color w:val="000000"/>
                <w:szCs w:val="20"/>
                <w:lang w:eastAsia="es-419"/>
              </w:rPr>
              <w:t>¢75.000.000.000</w:t>
            </w:r>
          </w:p>
        </w:tc>
      </w:tr>
      <w:tr w:rsidR="00206F96" w:rsidRPr="00382A62" w14:paraId="35C5810E" w14:textId="77777777" w:rsidTr="00206F96">
        <w:trPr>
          <w:trHeight w:val="378"/>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4D45ADBA"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Clase de Instrumento:</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05269F9A"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Bonos estandarizados</w:t>
            </w:r>
          </w:p>
        </w:tc>
      </w:tr>
      <w:tr w:rsidR="00206F96" w:rsidRPr="00382A62" w14:paraId="41EE265D" w14:textId="77777777" w:rsidTr="00206F96">
        <w:trPr>
          <w:trHeight w:val="378"/>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74F4D312"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Moneda de la emisión:</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6F524356"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3BD5E360" w14:textId="77777777" w:rsidTr="00206F96">
        <w:trPr>
          <w:trHeight w:val="241"/>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68429BD1"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Monto emisión:</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5E609F8E"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4F7A76E4" w14:textId="77777777" w:rsidTr="00206F96">
        <w:trPr>
          <w:trHeight w:val="241"/>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1780BD15"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Valor facial:</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40E294FD"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1ACD64BB" w14:textId="77777777" w:rsidTr="00206F96">
        <w:trPr>
          <w:trHeight w:val="241"/>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282FDF86"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Fecha de emisión:</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4F9ED139"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5699673E" w14:textId="77777777" w:rsidTr="00206F96">
        <w:trPr>
          <w:trHeight w:val="378"/>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549E186C"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Fecha de vencimiento:</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501BD3CE"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1E9DE676" w14:textId="77777777" w:rsidTr="00206F96">
        <w:trPr>
          <w:trHeight w:val="241"/>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561A9475"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Plazo:</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54BE2BA9"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5E9ABFBD" w14:textId="77777777" w:rsidTr="00206F96">
        <w:trPr>
          <w:trHeight w:val="410"/>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2A9EFE35"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 xml:space="preserve">Tasa de interés bruta: </w:t>
            </w:r>
            <w:r w:rsidRPr="00382A62">
              <w:rPr>
                <w:rFonts w:eastAsia="Times New Roman" w:cs="Arial"/>
                <w:b/>
                <w:bCs/>
                <w:color w:val="000000"/>
                <w:szCs w:val="20"/>
                <w:vertAlign w:val="superscript"/>
                <w:lang w:eastAsia="es-419"/>
              </w:rPr>
              <w:t>1)</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308AF9B7"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10B7702B" w14:textId="77777777" w:rsidTr="00206F96">
        <w:trPr>
          <w:trHeight w:val="241"/>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71BAA2D4"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Tasa de interés neta:</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200591CF"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Tasa Bruta menos el impuesto sobre la renta</w:t>
            </w:r>
          </w:p>
        </w:tc>
      </w:tr>
      <w:tr w:rsidR="00206F96" w:rsidRPr="00382A62" w14:paraId="28843C5E" w14:textId="77777777" w:rsidTr="00206F96">
        <w:trPr>
          <w:trHeight w:val="241"/>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6856DD69"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Código ISIN:</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67790366"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4E929BEA" w14:textId="77777777" w:rsidTr="00206F96">
        <w:trPr>
          <w:trHeight w:val="241"/>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740CB398"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Nemotécnico:</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2652B912"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0405251E" w14:textId="77777777" w:rsidTr="00206F96">
        <w:trPr>
          <w:trHeight w:val="241"/>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69743892"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Factor de cálculo:</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2AAB2DB4"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30/360</w:t>
            </w:r>
          </w:p>
        </w:tc>
      </w:tr>
      <w:tr w:rsidR="00206F96" w:rsidRPr="00382A62" w14:paraId="74246D7D" w14:textId="77777777" w:rsidTr="00206F96">
        <w:trPr>
          <w:trHeight w:val="241"/>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546D9164"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Periodicidad:</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0A6F8A97"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1637FB56" w14:textId="77777777" w:rsidTr="00206F96">
        <w:trPr>
          <w:trHeight w:val="378"/>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34893BD0"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Amortización del Principal:</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0FC86784"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Al vencimiento o al momento en que se redima, en caso de emisiones con esta característica.</w:t>
            </w:r>
          </w:p>
        </w:tc>
      </w:tr>
      <w:tr w:rsidR="00206F96" w:rsidRPr="00382A62" w14:paraId="1E201453" w14:textId="77777777" w:rsidTr="00206F96">
        <w:trPr>
          <w:trHeight w:val="378"/>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7CB1D78C"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Forma de representación:</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4DA716BC"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Anotación en cuenta</w:t>
            </w:r>
          </w:p>
        </w:tc>
      </w:tr>
      <w:tr w:rsidR="00206F96" w:rsidRPr="00382A62" w14:paraId="45455415" w14:textId="77777777" w:rsidTr="00206F96">
        <w:trPr>
          <w:trHeight w:val="241"/>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4FB86874"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Ley de Circulación:</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708BFBBC"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A la orden</w:t>
            </w:r>
          </w:p>
        </w:tc>
      </w:tr>
      <w:tr w:rsidR="00206F96" w:rsidRPr="00382A62" w14:paraId="04010108" w14:textId="77777777" w:rsidTr="00206F96">
        <w:trPr>
          <w:trHeight w:val="378"/>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0FB77BFA"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Mecanismo de colocación:</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0D1BF134"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 Colocación Directa, subasta por Bolsa y contrato de colocación (suscripción en garantía o en firme)</w:t>
            </w:r>
          </w:p>
        </w:tc>
      </w:tr>
      <w:tr w:rsidR="00206F96" w:rsidRPr="00382A62" w14:paraId="3A6AA874" w14:textId="77777777" w:rsidTr="00206F96">
        <w:trPr>
          <w:trHeight w:val="378"/>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359138AB"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Calificación de riesgo:</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1F37CAC5"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Scr AAA</w:t>
            </w:r>
          </w:p>
        </w:tc>
      </w:tr>
      <w:tr w:rsidR="00206F96" w:rsidRPr="00382A62" w14:paraId="5FCFEF1C" w14:textId="77777777" w:rsidTr="00206F96">
        <w:trPr>
          <w:trHeight w:val="1297"/>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28CD4F85"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lastRenderedPageBreak/>
              <w:t>Destino de los recursos:</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677071F0"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Capital de trabajo, la inversión en activos productivos medianos y largo plazo y/o la sustitución de pasivos financieros. Dichos pasivos financieros se refieren a deuda bancaria y la sustitución de éstos se hará de conformidad con criterios de oportunidad y conveniencia estratégica para el Emisor, en el momento en que se reciban los recursos.</w:t>
            </w:r>
          </w:p>
        </w:tc>
      </w:tr>
      <w:tr w:rsidR="00206F96" w:rsidRPr="00382A62" w14:paraId="5E6E77F7" w14:textId="77777777" w:rsidTr="00206F96">
        <w:trPr>
          <w:trHeight w:val="378"/>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4714E6BA"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Características especiales:</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07E45A72"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Redención anticipada (*)</w:t>
            </w:r>
          </w:p>
        </w:tc>
      </w:tr>
    </w:tbl>
    <w:p w14:paraId="3A72FDE9" w14:textId="77777777" w:rsidR="001D5149" w:rsidRDefault="001D5149" w:rsidP="00461F9B">
      <w:pPr>
        <w:spacing w:after="0" w:line="240" w:lineRule="auto"/>
        <w:rPr>
          <w:rFonts w:cs="Arial"/>
          <w:color w:val="7F7F7F" w:themeColor="text1" w:themeTint="80"/>
          <w:sz w:val="16"/>
          <w:szCs w:val="16"/>
        </w:rPr>
      </w:pPr>
    </w:p>
    <w:p w14:paraId="4E3A203C" w14:textId="0E324AF9" w:rsidR="00461F9B" w:rsidRPr="004E1E85" w:rsidRDefault="007605E6" w:rsidP="00461F9B">
      <w:pPr>
        <w:spacing w:after="0" w:line="240" w:lineRule="auto"/>
        <w:rPr>
          <w:rFonts w:cs="Arial"/>
          <w:color w:val="7F7F7F" w:themeColor="text1" w:themeTint="80"/>
          <w:sz w:val="16"/>
          <w:szCs w:val="16"/>
        </w:rPr>
      </w:pPr>
      <w:r w:rsidRPr="004E1E85">
        <w:rPr>
          <w:rFonts w:cs="Arial"/>
          <w:color w:val="7F7F7F" w:themeColor="text1" w:themeTint="80"/>
          <w:sz w:val="16"/>
          <w:szCs w:val="16"/>
        </w:rPr>
        <w:t>Notas:</w:t>
      </w:r>
    </w:p>
    <w:p w14:paraId="1125C51B" w14:textId="3CF64176" w:rsidR="007605E6" w:rsidRPr="004E1E85" w:rsidRDefault="007605E6" w:rsidP="00461F9B">
      <w:pPr>
        <w:spacing w:after="0" w:line="240" w:lineRule="auto"/>
        <w:rPr>
          <w:rFonts w:cs="Arial"/>
          <w:color w:val="7F7F7F" w:themeColor="text1" w:themeTint="80"/>
          <w:sz w:val="16"/>
          <w:szCs w:val="16"/>
        </w:rPr>
      </w:pPr>
      <w:r w:rsidRPr="004E1E85">
        <w:rPr>
          <w:rFonts w:cs="Arial"/>
          <w:color w:val="7F7F7F" w:themeColor="text1" w:themeTint="80"/>
          <w:sz w:val="16"/>
          <w:szCs w:val="16"/>
        </w:rPr>
        <w:t>(*) Estas características serán informadas mediante Comunicado de Hecho Relevante al menos 2 días hábiles antes de la fecha de colocación del primer tracto de cada serie.</w:t>
      </w:r>
    </w:p>
    <w:p w14:paraId="71076436" w14:textId="77777777" w:rsidR="007605E6" w:rsidRPr="004E1E85" w:rsidRDefault="007605E6" w:rsidP="003C07B0">
      <w:pPr>
        <w:spacing w:after="0" w:line="240" w:lineRule="auto"/>
        <w:rPr>
          <w:rFonts w:cs="Arial"/>
          <w:color w:val="7F7F7F" w:themeColor="text1" w:themeTint="80"/>
          <w:sz w:val="16"/>
          <w:szCs w:val="16"/>
        </w:rPr>
      </w:pPr>
      <w:r w:rsidRPr="004E1E85">
        <w:rPr>
          <w:rFonts w:cs="Arial"/>
          <w:color w:val="7F7F7F" w:themeColor="text1" w:themeTint="80"/>
          <w:sz w:val="16"/>
          <w:szCs w:val="16"/>
        </w:rPr>
        <w:t>1) En el caso de las emisiones con tasa de interés ajustable, la tasa de referencia que se utilizará será la vigente dos días hábiles antes del inicio de cada periodo de pago de intereses.</w:t>
      </w:r>
    </w:p>
    <w:p w14:paraId="439C6FCA" w14:textId="77777777" w:rsidR="007605E6" w:rsidRPr="00382A62" w:rsidRDefault="007605E6" w:rsidP="007605E6">
      <w:pPr>
        <w:spacing w:line="240" w:lineRule="auto"/>
        <w:rPr>
          <w:rFonts w:cs="Arial"/>
          <w:color w:val="7F7F7F" w:themeColor="text1" w:themeTint="80"/>
          <w:szCs w:val="20"/>
        </w:rPr>
      </w:pPr>
    </w:p>
    <w:p w14:paraId="6379821B" w14:textId="65A5C9D0" w:rsidR="007605E6" w:rsidRPr="00382A62" w:rsidRDefault="007605E6" w:rsidP="007605E6">
      <w:pPr>
        <w:rPr>
          <w:rFonts w:cs="Arial"/>
          <w:szCs w:val="20"/>
        </w:rPr>
      </w:pPr>
      <w:r w:rsidRPr="00382A62">
        <w:rPr>
          <w:rFonts w:cs="Arial"/>
          <w:szCs w:val="20"/>
        </w:rPr>
        <w:t xml:space="preserve">Las características propias de cada serie de bonos vigente, emitidas bajo </w:t>
      </w:r>
      <w:r w:rsidR="00EB1060" w:rsidRPr="00382A62">
        <w:rPr>
          <w:rFonts w:cs="Arial"/>
          <w:szCs w:val="20"/>
        </w:rPr>
        <w:t>los Programas arriba indicados</w:t>
      </w:r>
      <w:r w:rsidRPr="00382A62">
        <w:rPr>
          <w:rFonts w:cs="Arial"/>
          <w:szCs w:val="20"/>
        </w:rPr>
        <w:t>, se detallan en el siguiente cuadro</w:t>
      </w:r>
      <w:r w:rsidR="007A4BBE" w:rsidRPr="00382A62">
        <w:rPr>
          <w:rFonts w:cs="Arial"/>
          <w:szCs w:val="20"/>
        </w:rPr>
        <w:t>. A la fecha no se han realizado emisiones bajo el Programa G-2020.</w:t>
      </w:r>
    </w:p>
    <w:p w14:paraId="36DDA7DC" w14:textId="704A8846" w:rsidR="002712E2" w:rsidRPr="00382A62" w:rsidRDefault="007605E6" w:rsidP="00072009">
      <w:pPr>
        <w:pStyle w:val="Descripcin"/>
        <w:keepNext/>
        <w:rPr>
          <w:rFonts w:cs="Arial"/>
          <w:szCs w:val="20"/>
        </w:rPr>
      </w:pPr>
      <w:bookmarkStart w:id="25" w:name="_Toc169624698"/>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w:t>
      </w:r>
      <w:r w:rsidR="00423C23" w:rsidRPr="00382A62">
        <w:rPr>
          <w:rFonts w:cs="Arial"/>
          <w:noProof/>
          <w:szCs w:val="20"/>
        </w:rPr>
        <w:fldChar w:fldCharType="end"/>
      </w:r>
      <w:r w:rsidRPr="00382A62">
        <w:rPr>
          <w:rFonts w:cs="Arial"/>
          <w:szCs w:val="20"/>
        </w:rPr>
        <w:t xml:space="preserve"> - Emisión de Bonos Estandarizados</w:t>
      </w:r>
      <w:r w:rsidR="00EB1060" w:rsidRPr="00382A62">
        <w:rPr>
          <w:rFonts w:cs="Arial"/>
          <w:szCs w:val="20"/>
        </w:rPr>
        <w:t xml:space="preserve"> Vigentes</w:t>
      </w:r>
      <w:bookmarkEnd w:id="25"/>
    </w:p>
    <w:tbl>
      <w:tblPr>
        <w:tblW w:w="10059" w:type="dxa"/>
        <w:tblCellMar>
          <w:left w:w="70" w:type="dxa"/>
          <w:right w:w="70" w:type="dxa"/>
        </w:tblCellMar>
        <w:tblLook w:val="04A0" w:firstRow="1" w:lastRow="0" w:firstColumn="1" w:lastColumn="0" w:noHBand="0" w:noVBand="1"/>
      </w:tblPr>
      <w:tblGrid>
        <w:gridCol w:w="4509"/>
        <w:gridCol w:w="2774"/>
        <w:gridCol w:w="2776"/>
      </w:tblGrid>
      <w:tr w:rsidR="002712E2" w:rsidRPr="00382A62" w14:paraId="378AB491" w14:textId="77777777" w:rsidTr="00072009">
        <w:trPr>
          <w:trHeight w:val="242"/>
        </w:trPr>
        <w:tc>
          <w:tcPr>
            <w:tcW w:w="4509" w:type="dxa"/>
            <w:tcBorders>
              <w:top w:val="single" w:sz="8" w:space="0" w:color="A6A6A6"/>
              <w:left w:val="single" w:sz="8" w:space="0" w:color="A6A6A6"/>
              <w:bottom w:val="single" w:sz="8" w:space="0" w:color="A6A6A6"/>
              <w:right w:val="single" w:sz="8" w:space="0" w:color="A6A6A6"/>
            </w:tcBorders>
            <w:shd w:val="clear" w:color="000000" w:fill="F2F2F2"/>
            <w:noWrap/>
            <w:vAlign w:val="center"/>
            <w:hideMark/>
          </w:tcPr>
          <w:p w14:paraId="6E9BC52E"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Clase de Instrumento:</w:t>
            </w:r>
          </w:p>
        </w:tc>
        <w:tc>
          <w:tcPr>
            <w:tcW w:w="5550" w:type="dxa"/>
            <w:gridSpan w:val="2"/>
            <w:tcBorders>
              <w:top w:val="single" w:sz="8" w:space="0" w:color="A6A6A6"/>
              <w:left w:val="nil"/>
              <w:bottom w:val="single" w:sz="8" w:space="0" w:color="A6A6A6"/>
              <w:right w:val="single" w:sz="8" w:space="0" w:color="A6A6A6"/>
            </w:tcBorders>
            <w:shd w:val="clear" w:color="auto" w:fill="auto"/>
            <w:noWrap/>
            <w:vAlign w:val="center"/>
            <w:hideMark/>
          </w:tcPr>
          <w:p w14:paraId="68E86C2C"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Bonos estandarizados</w:t>
            </w:r>
          </w:p>
        </w:tc>
      </w:tr>
      <w:tr w:rsidR="002712E2" w:rsidRPr="00382A62" w14:paraId="156CAAF9" w14:textId="77777777" w:rsidTr="00072009">
        <w:trPr>
          <w:trHeight w:val="533"/>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5F3DFDAF"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Programa:</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683A08B3" w14:textId="3E845706"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 xml:space="preserve">Programa de Emisión de Bonos Estandarizados F-2019 en </w:t>
            </w:r>
            <w:r w:rsidR="00E702E6" w:rsidRPr="00382A62">
              <w:rPr>
                <w:rFonts w:eastAsia="Times New Roman" w:cs="Arial"/>
                <w:color w:val="000000"/>
                <w:szCs w:val="20"/>
                <w:lang w:eastAsia="es-419"/>
              </w:rPr>
              <w:t>colones</w:t>
            </w:r>
          </w:p>
        </w:tc>
      </w:tr>
      <w:tr w:rsidR="002712E2" w:rsidRPr="00382A62" w14:paraId="4BF757CB"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04E7D42C"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Nombre de la emisión:</w:t>
            </w:r>
          </w:p>
        </w:tc>
        <w:tc>
          <w:tcPr>
            <w:tcW w:w="2774" w:type="dxa"/>
            <w:tcBorders>
              <w:top w:val="nil"/>
              <w:left w:val="nil"/>
              <w:bottom w:val="single" w:sz="8" w:space="0" w:color="A6A6A6"/>
              <w:right w:val="single" w:sz="8" w:space="0" w:color="A6A6A6"/>
            </w:tcBorders>
            <w:shd w:val="clear" w:color="auto" w:fill="auto"/>
            <w:vAlign w:val="center"/>
            <w:hideMark/>
          </w:tcPr>
          <w:p w14:paraId="4CC35AEC" w14:textId="77777777" w:rsidR="002712E2" w:rsidRPr="00382A62" w:rsidRDefault="002712E2" w:rsidP="002712E2">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Serie F-1</w:t>
            </w:r>
          </w:p>
        </w:tc>
        <w:tc>
          <w:tcPr>
            <w:tcW w:w="2775" w:type="dxa"/>
            <w:tcBorders>
              <w:top w:val="nil"/>
              <w:left w:val="nil"/>
              <w:bottom w:val="single" w:sz="8" w:space="0" w:color="A6A6A6"/>
              <w:right w:val="single" w:sz="8" w:space="0" w:color="A6A6A6"/>
            </w:tcBorders>
            <w:shd w:val="clear" w:color="auto" w:fill="auto"/>
            <w:vAlign w:val="center"/>
            <w:hideMark/>
          </w:tcPr>
          <w:p w14:paraId="7D83FFC0" w14:textId="77777777" w:rsidR="002712E2" w:rsidRPr="00382A62" w:rsidRDefault="002712E2" w:rsidP="002712E2">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Serie F-2</w:t>
            </w:r>
          </w:p>
        </w:tc>
      </w:tr>
      <w:tr w:rsidR="002712E2" w:rsidRPr="00382A62" w14:paraId="41C8E28C"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6AEFE813"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Plazo:</w:t>
            </w:r>
          </w:p>
        </w:tc>
        <w:tc>
          <w:tcPr>
            <w:tcW w:w="2774" w:type="dxa"/>
            <w:tcBorders>
              <w:top w:val="nil"/>
              <w:left w:val="nil"/>
              <w:bottom w:val="single" w:sz="8" w:space="0" w:color="A6A6A6"/>
              <w:right w:val="single" w:sz="8" w:space="0" w:color="A6A6A6"/>
            </w:tcBorders>
            <w:shd w:val="clear" w:color="000000" w:fill="FFFFFF"/>
            <w:vAlign w:val="center"/>
            <w:hideMark/>
          </w:tcPr>
          <w:p w14:paraId="10A71F3C"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2130 días</w:t>
            </w:r>
          </w:p>
        </w:tc>
        <w:tc>
          <w:tcPr>
            <w:tcW w:w="2775" w:type="dxa"/>
            <w:tcBorders>
              <w:top w:val="nil"/>
              <w:left w:val="nil"/>
              <w:bottom w:val="single" w:sz="8" w:space="0" w:color="A6A6A6"/>
              <w:right w:val="single" w:sz="8" w:space="0" w:color="A6A6A6"/>
            </w:tcBorders>
            <w:shd w:val="clear" w:color="000000" w:fill="FFFFFF"/>
            <w:vAlign w:val="center"/>
            <w:hideMark/>
          </w:tcPr>
          <w:p w14:paraId="7665FDDC"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2130 días</w:t>
            </w:r>
          </w:p>
        </w:tc>
      </w:tr>
      <w:tr w:rsidR="002712E2" w:rsidRPr="00382A62" w14:paraId="6070963D" w14:textId="77777777" w:rsidTr="00072009">
        <w:trPr>
          <w:trHeight w:val="380"/>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52A7F7FD"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Monto de la emisión:</w:t>
            </w:r>
          </w:p>
        </w:tc>
        <w:tc>
          <w:tcPr>
            <w:tcW w:w="2774" w:type="dxa"/>
            <w:tcBorders>
              <w:top w:val="nil"/>
              <w:left w:val="nil"/>
              <w:bottom w:val="single" w:sz="8" w:space="0" w:color="A6A6A6"/>
              <w:right w:val="single" w:sz="8" w:space="0" w:color="A6A6A6"/>
            </w:tcBorders>
            <w:shd w:val="clear" w:color="000000" w:fill="FFFFFF"/>
            <w:vAlign w:val="center"/>
            <w:hideMark/>
          </w:tcPr>
          <w:p w14:paraId="10E18AAA"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₡25.000.000.000</w:t>
            </w:r>
          </w:p>
        </w:tc>
        <w:tc>
          <w:tcPr>
            <w:tcW w:w="2775" w:type="dxa"/>
            <w:tcBorders>
              <w:top w:val="nil"/>
              <w:left w:val="nil"/>
              <w:bottom w:val="single" w:sz="8" w:space="0" w:color="A6A6A6"/>
              <w:right w:val="single" w:sz="8" w:space="0" w:color="A6A6A6"/>
            </w:tcBorders>
            <w:shd w:val="clear" w:color="000000" w:fill="FFFFFF"/>
            <w:vAlign w:val="center"/>
            <w:hideMark/>
          </w:tcPr>
          <w:p w14:paraId="379168DC"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₡25.000.000.000</w:t>
            </w:r>
          </w:p>
        </w:tc>
      </w:tr>
      <w:tr w:rsidR="002712E2" w:rsidRPr="00382A62" w14:paraId="5477C1A1" w14:textId="77777777" w:rsidTr="00072009">
        <w:trPr>
          <w:trHeight w:val="380"/>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5A408597"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Código ISIN:</w:t>
            </w:r>
          </w:p>
        </w:tc>
        <w:tc>
          <w:tcPr>
            <w:tcW w:w="2774" w:type="dxa"/>
            <w:tcBorders>
              <w:top w:val="nil"/>
              <w:left w:val="nil"/>
              <w:bottom w:val="single" w:sz="8" w:space="0" w:color="A6A6A6"/>
              <w:right w:val="single" w:sz="8" w:space="0" w:color="A6A6A6"/>
            </w:tcBorders>
            <w:shd w:val="clear" w:color="auto" w:fill="auto"/>
            <w:vAlign w:val="center"/>
            <w:hideMark/>
          </w:tcPr>
          <w:p w14:paraId="7851CD1D"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CRFIFCOB1038</w:t>
            </w:r>
          </w:p>
        </w:tc>
        <w:tc>
          <w:tcPr>
            <w:tcW w:w="2775" w:type="dxa"/>
            <w:tcBorders>
              <w:top w:val="nil"/>
              <w:left w:val="nil"/>
              <w:bottom w:val="single" w:sz="8" w:space="0" w:color="A6A6A6"/>
              <w:right w:val="single" w:sz="8" w:space="0" w:color="A6A6A6"/>
            </w:tcBorders>
            <w:shd w:val="clear" w:color="auto" w:fill="auto"/>
            <w:vAlign w:val="center"/>
            <w:hideMark/>
          </w:tcPr>
          <w:p w14:paraId="7536DAE0"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CRFIFCOB1046</w:t>
            </w:r>
          </w:p>
        </w:tc>
      </w:tr>
      <w:tr w:rsidR="002712E2" w:rsidRPr="00382A62" w14:paraId="3941F723"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114C19E1"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Nemotécnico:</w:t>
            </w:r>
          </w:p>
        </w:tc>
        <w:tc>
          <w:tcPr>
            <w:tcW w:w="2774" w:type="dxa"/>
            <w:tcBorders>
              <w:top w:val="nil"/>
              <w:left w:val="nil"/>
              <w:bottom w:val="single" w:sz="8" w:space="0" w:color="A6A6A6"/>
              <w:right w:val="single" w:sz="8" w:space="0" w:color="A6A6A6"/>
            </w:tcBorders>
            <w:shd w:val="clear" w:color="auto" w:fill="auto"/>
            <w:vAlign w:val="center"/>
            <w:hideMark/>
          </w:tcPr>
          <w:p w14:paraId="2F897ECB"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bff1c</w:t>
            </w:r>
          </w:p>
        </w:tc>
        <w:tc>
          <w:tcPr>
            <w:tcW w:w="2775" w:type="dxa"/>
            <w:tcBorders>
              <w:top w:val="nil"/>
              <w:left w:val="nil"/>
              <w:bottom w:val="single" w:sz="8" w:space="0" w:color="A6A6A6"/>
              <w:right w:val="single" w:sz="8" w:space="0" w:color="A6A6A6"/>
            </w:tcBorders>
            <w:shd w:val="clear" w:color="auto" w:fill="auto"/>
            <w:vAlign w:val="center"/>
            <w:hideMark/>
          </w:tcPr>
          <w:p w14:paraId="48D1F21C"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bff2c</w:t>
            </w:r>
          </w:p>
        </w:tc>
      </w:tr>
      <w:tr w:rsidR="002712E2" w:rsidRPr="00382A62" w14:paraId="5675FAAE" w14:textId="77777777" w:rsidTr="00072009">
        <w:trPr>
          <w:trHeight w:val="380"/>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32B2C0D3"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Fecha de emisión:</w:t>
            </w:r>
          </w:p>
        </w:tc>
        <w:tc>
          <w:tcPr>
            <w:tcW w:w="2774" w:type="dxa"/>
            <w:tcBorders>
              <w:top w:val="nil"/>
              <w:left w:val="nil"/>
              <w:bottom w:val="single" w:sz="8" w:space="0" w:color="A6A6A6"/>
              <w:right w:val="single" w:sz="8" w:space="0" w:color="A6A6A6"/>
            </w:tcBorders>
            <w:shd w:val="clear" w:color="000000" w:fill="FFFFFF"/>
            <w:vAlign w:val="center"/>
            <w:hideMark/>
          </w:tcPr>
          <w:p w14:paraId="0E9C2098"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8 de marzo 2019</w:t>
            </w:r>
          </w:p>
        </w:tc>
        <w:tc>
          <w:tcPr>
            <w:tcW w:w="2775" w:type="dxa"/>
            <w:tcBorders>
              <w:top w:val="nil"/>
              <w:left w:val="nil"/>
              <w:bottom w:val="single" w:sz="8" w:space="0" w:color="A6A6A6"/>
              <w:right w:val="single" w:sz="8" w:space="0" w:color="A6A6A6"/>
            </w:tcBorders>
            <w:shd w:val="clear" w:color="000000" w:fill="FFFFFF"/>
            <w:vAlign w:val="center"/>
            <w:hideMark/>
          </w:tcPr>
          <w:p w14:paraId="169B14B4"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21 de junio del 2019</w:t>
            </w:r>
          </w:p>
        </w:tc>
      </w:tr>
      <w:tr w:rsidR="002712E2" w:rsidRPr="00382A62" w14:paraId="69957B47" w14:textId="77777777" w:rsidTr="00072009">
        <w:trPr>
          <w:trHeight w:val="380"/>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071ED562"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Fecha de vencimiento:</w:t>
            </w:r>
          </w:p>
        </w:tc>
        <w:tc>
          <w:tcPr>
            <w:tcW w:w="2774" w:type="dxa"/>
            <w:tcBorders>
              <w:top w:val="nil"/>
              <w:left w:val="nil"/>
              <w:bottom w:val="single" w:sz="8" w:space="0" w:color="A6A6A6"/>
              <w:right w:val="single" w:sz="8" w:space="0" w:color="A6A6A6"/>
            </w:tcBorders>
            <w:shd w:val="clear" w:color="000000" w:fill="FFFFFF"/>
            <w:vAlign w:val="center"/>
            <w:hideMark/>
          </w:tcPr>
          <w:p w14:paraId="44ECC0DB"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8 de febrero 2025</w:t>
            </w:r>
          </w:p>
        </w:tc>
        <w:tc>
          <w:tcPr>
            <w:tcW w:w="2775" w:type="dxa"/>
            <w:tcBorders>
              <w:top w:val="nil"/>
              <w:left w:val="nil"/>
              <w:bottom w:val="single" w:sz="8" w:space="0" w:color="A6A6A6"/>
              <w:right w:val="single" w:sz="8" w:space="0" w:color="A6A6A6"/>
            </w:tcBorders>
            <w:shd w:val="clear" w:color="000000" w:fill="FFFFFF"/>
            <w:vAlign w:val="center"/>
            <w:hideMark/>
          </w:tcPr>
          <w:p w14:paraId="49AF6A80"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21 de mayo del 2025</w:t>
            </w:r>
          </w:p>
        </w:tc>
      </w:tr>
      <w:tr w:rsidR="002712E2" w:rsidRPr="00382A62" w14:paraId="3CF6EE8B"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26A73746"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Tasa de interés bruta (1):</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78004228"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Tasa Básica Pasiva (TBP)+2,75%</w:t>
            </w:r>
          </w:p>
        </w:tc>
      </w:tr>
      <w:tr w:rsidR="002712E2" w:rsidRPr="00382A62" w14:paraId="7A02C595"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682A27A1"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Características Especiales:</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343F433A" w14:textId="77777777" w:rsidR="002712E2" w:rsidRPr="00382A62" w:rsidRDefault="002712E2" w:rsidP="002712E2">
            <w:pPr>
              <w:spacing w:after="0" w:line="240" w:lineRule="auto"/>
              <w:rPr>
                <w:rFonts w:eastAsia="Times New Roman" w:cs="Arial"/>
                <w:color w:val="000000"/>
                <w:szCs w:val="20"/>
                <w:lang w:val="es-419" w:eastAsia="es-419"/>
              </w:rPr>
            </w:pPr>
            <w:r w:rsidRPr="00382A62">
              <w:rPr>
                <w:rFonts w:eastAsia="Times New Roman" w:cs="Arial"/>
                <w:color w:val="000000"/>
                <w:szCs w:val="20"/>
                <w:lang w:eastAsia="es-419"/>
              </w:rPr>
              <w:t>El cupón corto se ajustará en el último pago (a la fecha de vencimiento).</w:t>
            </w:r>
          </w:p>
        </w:tc>
      </w:tr>
      <w:tr w:rsidR="002712E2" w:rsidRPr="00382A62" w14:paraId="39164082"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5762EA33"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Tasa de interés neta (2):</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08BF9726"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Tasa Bruta menos impuesto sobre la renta</w:t>
            </w:r>
          </w:p>
        </w:tc>
      </w:tr>
      <w:tr w:rsidR="002712E2" w:rsidRPr="00382A62" w14:paraId="3B11AD9E"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25B57B71"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Forma de representación:</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3E4D6B14"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Anotación en cuenta</w:t>
            </w:r>
          </w:p>
        </w:tc>
      </w:tr>
      <w:tr w:rsidR="002712E2" w:rsidRPr="00382A62" w14:paraId="09E00FBE"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303E4796"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Moneda:</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604D2061"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Colones</w:t>
            </w:r>
          </w:p>
        </w:tc>
      </w:tr>
      <w:tr w:rsidR="002712E2" w:rsidRPr="00382A62" w14:paraId="30D1DD69"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73C8B214"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Denominación o valor facial:</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7564A319"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¢1.000.000 (Un millón)</w:t>
            </w:r>
          </w:p>
        </w:tc>
      </w:tr>
      <w:tr w:rsidR="002712E2" w:rsidRPr="00382A62" w14:paraId="642979BF"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vAlign w:val="center"/>
            <w:hideMark/>
          </w:tcPr>
          <w:p w14:paraId="7E27CB33"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 xml:space="preserve">Forma de colocación: </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57AB5D5C"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Suscripción en firme</w:t>
            </w:r>
          </w:p>
        </w:tc>
      </w:tr>
      <w:tr w:rsidR="002712E2" w:rsidRPr="00382A62" w14:paraId="58721568"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vAlign w:val="center"/>
            <w:hideMark/>
          </w:tcPr>
          <w:p w14:paraId="263080BC"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Factor de cálculo:</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2DC778CD"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30/360</w:t>
            </w:r>
          </w:p>
        </w:tc>
      </w:tr>
      <w:tr w:rsidR="002712E2" w:rsidRPr="00382A62" w14:paraId="493B2697"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vAlign w:val="center"/>
            <w:hideMark/>
          </w:tcPr>
          <w:p w14:paraId="2BAC14D1"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Periodicidad (3):</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03A76E32"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Cupón trimestral al vencimiento</w:t>
            </w:r>
          </w:p>
        </w:tc>
      </w:tr>
      <w:tr w:rsidR="002712E2" w:rsidRPr="00382A62" w14:paraId="294CBF0B"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7D44520F"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Ley de Circulación:</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410CF62C"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A la orden</w:t>
            </w:r>
          </w:p>
        </w:tc>
      </w:tr>
      <w:tr w:rsidR="002712E2" w:rsidRPr="00382A62" w14:paraId="732CF54D"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0049C04C"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Calificadora de Riesgo:</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2862D909"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Sociedad Calificadora de Riesgo Centroamericana, S.A.</w:t>
            </w:r>
          </w:p>
        </w:tc>
      </w:tr>
      <w:tr w:rsidR="002712E2" w:rsidRPr="00382A62" w14:paraId="3C77EC22"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1ECB7AB1"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Calificación de Riesgo:</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7F2EAB8B"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Scr AAA (CR)</w:t>
            </w:r>
          </w:p>
        </w:tc>
      </w:tr>
      <w:tr w:rsidR="002712E2" w:rsidRPr="00382A62" w14:paraId="0AE30567" w14:textId="77777777" w:rsidTr="00072009">
        <w:trPr>
          <w:trHeight w:val="371"/>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5FAA98E9"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Mecanismo de colocación:</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2EB90434"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 Colocación Directa, subasta por Bolsa y contrato de colocación (suscripción en garantía o en firme)</w:t>
            </w:r>
          </w:p>
        </w:tc>
      </w:tr>
    </w:tbl>
    <w:p w14:paraId="1E21E58A" w14:textId="77777777" w:rsidR="001D5149" w:rsidRDefault="001D5149" w:rsidP="003C07B0">
      <w:pPr>
        <w:spacing w:after="0" w:line="240" w:lineRule="auto"/>
        <w:rPr>
          <w:rFonts w:cs="Arial"/>
          <w:color w:val="7F7F7F" w:themeColor="text1" w:themeTint="80"/>
          <w:sz w:val="16"/>
          <w:szCs w:val="16"/>
        </w:rPr>
      </w:pPr>
    </w:p>
    <w:p w14:paraId="797618AB" w14:textId="6883AA1C" w:rsidR="00740347" w:rsidRPr="00B7530A" w:rsidRDefault="00740347" w:rsidP="003C07B0">
      <w:pPr>
        <w:spacing w:after="0" w:line="240" w:lineRule="auto"/>
        <w:rPr>
          <w:rFonts w:cs="Arial"/>
          <w:color w:val="7F7F7F" w:themeColor="text1" w:themeTint="80"/>
          <w:sz w:val="16"/>
          <w:szCs w:val="16"/>
        </w:rPr>
      </w:pPr>
      <w:r w:rsidRPr="00B7530A">
        <w:rPr>
          <w:rFonts w:cs="Arial"/>
          <w:color w:val="7F7F7F" w:themeColor="text1" w:themeTint="80"/>
          <w:sz w:val="16"/>
          <w:szCs w:val="16"/>
        </w:rPr>
        <w:t>Notas:</w:t>
      </w:r>
    </w:p>
    <w:p w14:paraId="79986C06" w14:textId="51A12797" w:rsidR="007605E6" w:rsidRPr="00B7530A" w:rsidRDefault="007605E6" w:rsidP="003C07B0">
      <w:pPr>
        <w:spacing w:after="0" w:line="240" w:lineRule="auto"/>
        <w:rPr>
          <w:rFonts w:cs="Arial"/>
          <w:color w:val="7F7F7F" w:themeColor="text1" w:themeTint="80"/>
          <w:sz w:val="16"/>
          <w:szCs w:val="16"/>
        </w:rPr>
      </w:pPr>
      <w:r w:rsidRPr="00B7530A">
        <w:rPr>
          <w:rFonts w:cs="Arial"/>
          <w:color w:val="7F7F7F" w:themeColor="text1" w:themeTint="80"/>
          <w:sz w:val="16"/>
          <w:szCs w:val="16"/>
        </w:rPr>
        <w:t xml:space="preserve">(1) De conformidad con el apartado de tasas de interés del presente prospecto </w:t>
      </w:r>
    </w:p>
    <w:p w14:paraId="67751A23" w14:textId="77777777" w:rsidR="007605E6" w:rsidRPr="00B7530A" w:rsidRDefault="007605E6" w:rsidP="003C07B0">
      <w:pPr>
        <w:spacing w:after="0" w:line="240" w:lineRule="auto"/>
        <w:rPr>
          <w:rFonts w:cs="Arial"/>
          <w:color w:val="7F7F7F" w:themeColor="text1" w:themeTint="80"/>
          <w:sz w:val="16"/>
          <w:szCs w:val="16"/>
        </w:rPr>
      </w:pPr>
      <w:r w:rsidRPr="00B7530A">
        <w:rPr>
          <w:rFonts w:cs="Arial"/>
          <w:color w:val="7F7F7F" w:themeColor="text1" w:themeTint="80"/>
          <w:sz w:val="16"/>
          <w:szCs w:val="16"/>
        </w:rPr>
        <w:t>(2) De conformidad con el apartado de tratamiento tributario para las emisiones del presente prospecto.</w:t>
      </w:r>
    </w:p>
    <w:p w14:paraId="7CCE8592" w14:textId="0BC6DBC4" w:rsidR="007605E6" w:rsidRDefault="007605E6" w:rsidP="007605E6">
      <w:pPr>
        <w:spacing w:line="240" w:lineRule="auto"/>
        <w:rPr>
          <w:rFonts w:cs="Arial"/>
          <w:color w:val="7F7F7F" w:themeColor="text1" w:themeTint="80"/>
          <w:sz w:val="16"/>
          <w:szCs w:val="16"/>
        </w:rPr>
      </w:pPr>
      <w:r w:rsidRPr="00B7530A">
        <w:rPr>
          <w:rFonts w:cs="Arial"/>
          <w:color w:val="7F7F7F" w:themeColor="text1" w:themeTint="80"/>
          <w:sz w:val="16"/>
          <w:szCs w:val="16"/>
        </w:rPr>
        <w:t>(</w:t>
      </w:r>
      <w:r w:rsidR="00241042" w:rsidRPr="00B7530A">
        <w:rPr>
          <w:rFonts w:cs="Arial"/>
          <w:color w:val="7F7F7F" w:themeColor="text1" w:themeTint="80"/>
          <w:sz w:val="16"/>
          <w:szCs w:val="16"/>
        </w:rPr>
        <w:t>3</w:t>
      </w:r>
      <w:r w:rsidRPr="00B7530A">
        <w:rPr>
          <w:rFonts w:cs="Arial"/>
          <w:color w:val="7F7F7F" w:themeColor="text1" w:themeTint="80"/>
          <w:sz w:val="16"/>
          <w:szCs w:val="16"/>
        </w:rPr>
        <w:t>) El último pago de la</w:t>
      </w:r>
      <w:r w:rsidR="007A4BBE" w:rsidRPr="00B7530A">
        <w:rPr>
          <w:rFonts w:cs="Arial"/>
          <w:color w:val="7F7F7F" w:themeColor="text1" w:themeTint="80"/>
          <w:sz w:val="16"/>
          <w:szCs w:val="16"/>
        </w:rPr>
        <w:t>s</w:t>
      </w:r>
      <w:r w:rsidRPr="00B7530A">
        <w:rPr>
          <w:rFonts w:cs="Arial"/>
          <w:color w:val="7F7F7F" w:themeColor="text1" w:themeTint="80"/>
          <w:sz w:val="16"/>
          <w:szCs w:val="16"/>
        </w:rPr>
        <w:t xml:space="preserve"> serie</w:t>
      </w:r>
      <w:r w:rsidR="007A4BBE" w:rsidRPr="00B7530A">
        <w:rPr>
          <w:rFonts w:cs="Arial"/>
          <w:color w:val="7F7F7F" w:themeColor="text1" w:themeTint="80"/>
          <w:sz w:val="16"/>
          <w:szCs w:val="16"/>
        </w:rPr>
        <w:t>s</w:t>
      </w:r>
      <w:r w:rsidRPr="00B7530A">
        <w:rPr>
          <w:rFonts w:cs="Arial"/>
          <w:color w:val="7F7F7F" w:themeColor="text1" w:themeTint="80"/>
          <w:sz w:val="16"/>
          <w:szCs w:val="16"/>
        </w:rPr>
        <w:t xml:space="preserve"> </w:t>
      </w:r>
      <w:r w:rsidR="007A4BBE" w:rsidRPr="00B7530A">
        <w:rPr>
          <w:rFonts w:cs="Arial"/>
          <w:color w:val="7F7F7F" w:themeColor="text1" w:themeTint="80"/>
          <w:sz w:val="16"/>
          <w:szCs w:val="16"/>
        </w:rPr>
        <w:t xml:space="preserve">F-1 y F-2 </w:t>
      </w:r>
      <w:r w:rsidRPr="00B7530A">
        <w:rPr>
          <w:rFonts w:cs="Arial"/>
          <w:color w:val="7F7F7F" w:themeColor="text1" w:themeTint="80"/>
          <w:sz w:val="16"/>
          <w:szCs w:val="16"/>
        </w:rPr>
        <w:t>se ajustará a la fecha de vencimiento.</w:t>
      </w:r>
    </w:p>
    <w:p w14:paraId="00B2191B" w14:textId="77777777" w:rsidR="00790D39" w:rsidRPr="00B7530A" w:rsidRDefault="00790D39" w:rsidP="007605E6">
      <w:pPr>
        <w:spacing w:line="240" w:lineRule="auto"/>
        <w:rPr>
          <w:rFonts w:cs="Arial"/>
          <w:color w:val="7F7F7F" w:themeColor="text1" w:themeTint="80"/>
          <w:sz w:val="16"/>
          <w:szCs w:val="16"/>
        </w:rPr>
      </w:pPr>
    </w:p>
    <w:p w14:paraId="78944A95" w14:textId="6980BC81" w:rsidR="007605E6" w:rsidRPr="00382A62" w:rsidRDefault="007605E6" w:rsidP="007605E6">
      <w:pPr>
        <w:pStyle w:val="Prrafodelista"/>
        <w:numPr>
          <w:ilvl w:val="0"/>
          <w:numId w:val="3"/>
        </w:numPr>
        <w:rPr>
          <w:rFonts w:cs="Arial"/>
          <w:b/>
          <w:bCs/>
          <w:szCs w:val="20"/>
        </w:rPr>
      </w:pPr>
      <w:r w:rsidRPr="00382A62">
        <w:rPr>
          <w:rFonts w:cs="Arial"/>
          <w:b/>
          <w:bCs/>
          <w:szCs w:val="20"/>
        </w:rPr>
        <w:lastRenderedPageBreak/>
        <w:t>Tasa de interés</w:t>
      </w:r>
    </w:p>
    <w:p w14:paraId="6BFE2F96" w14:textId="77777777" w:rsidR="007605E6" w:rsidRPr="00382A62" w:rsidRDefault="007605E6" w:rsidP="007605E6">
      <w:pPr>
        <w:rPr>
          <w:rFonts w:cs="Arial"/>
          <w:szCs w:val="20"/>
        </w:rPr>
      </w:pPr>
      <w:r w:rsidRPr="00382A62">
        <w:rPr>
          <w:rFonts w:cs="Arial"/>
          <w:szCs w:val="20"/>
        </w:rPr>
        <w:t>Para las series con tasa de interés ajustable en colones, se utilizará alguna de las siguientes tasas de referencia, la cual se indicará en el Hecho Relevante de convocatoria respectivo:</w:t>
      </w:r>
    </w:p>
    <w:p w14:paraId="11747845" w14:textId="77777777" w:rsidR="007605E6" w:rsidRPr="00382A62" w:rsidRDefault="007605E6" w:rsidP="00147CF2">
      <w:pPr>
        <w:pStyle w:val="Prrafodelista"/>
        <w:numPr>
          <w:ilvl w:val="0"/>
          <w:numId w:val="33"/>
        </w:numPr>
        <w:rPr>
          <w:rFonts w:cs="Arial"/>
          <w:szCs w:val="20"/>
        </w:rPr>
      </w:pPr>
      <w:r w:rsidRPr="00382A62">
        <w:rPr>
          <w:rFonts w:cs="Arial"/>
          <w:szCs w:val="20"/>
        </w:rPr>
        <w:t>Tasa Básica Pasiva.</w:t>
      </w:r>
    </w:p>
    <w:p w14:paraId="3C369C66" w14:textId="77777777" w:rsidR="007605E6" w:rsidRPr="00382A62" w:rsidRDefault="007605E6" w:rsidP="00147CF2">
      <w:pPr>
        <w:pStyle w:val="Prrafodelista"/>
        <w:numPr>
          <w:ilvl w:val="0"/>
          <w:numId w:val="33"/>
        </w:numPr>
        <w:rPr>
          <w:rFonts w:cs="Arial"/>
          <w:szCs w:val="20"/>
        </w:rPr>
      </w:pPr>
      <w:r w:rsidRPr="00382A62">
        <w:rPr>
          <w:rFonts w:cs="Arial"/>
          <w:szCs w:val="20"/>
        </w:rPr>
        <w:t>Tasa de Referencia Interbancaria (TRI).</w:t>
      </w:r>
    </w:p>
    <w:p w14:paraId="161ACAC7" w14:textId="77777777" w:rsidR="007605E6" w:rsidRPr="00382A62" w:rsidRDefault="007605E6" w:rsidP="00147CF2">
      <w:pPr>
        <w:pStyle w:val="Prrafodelista"/>
        <w:numPr>
          <w:ilvl w:val="0"/>
          <w:numId w:val="33"/>
        </w:numPr>
        <w:rPr>
          <w:rFonts w:cs="Arial"/>
          <w:szCs w:val="20"/>
        </w:rPr>
      </w:pPr>
      <w:r w:rsidRPr="00382A62">
        <w:rPr>
          <w:rFonts w:cs="Arial"/>
          <w:szCs w:val="20"/>
        </w:rPr>
        <w:t>Curva de Rendimiento Soberana del BCCR.</w:t>
      </w:r>
    </w:p>
    <w:p w14:paraId="1CE1DFFB" w14:textId="48C8D3A5" w:rsidR="007605E6" w:rsidRPr="00382A62" w:rsidRDefault="007605E6" w:rsidP="007605E6">
      <w:pPr>
        <w:rPr>
          <w:rFonts w:cs="Arial"/>
          <w:szCs w:val="20"/>
        </w:rPr>
      </w:pPr>
      <w:r w:rsidRPr="00382A62">
        <w:rPr>
          <w:rFonts w:cs="Arial"/>
          <w:szCs w:val="20"/>
        </w:rPr>
        <w:t>Para las series con tasa de interés ajustable en dólares, se utilizará la</w:t>
      </w:r>
      <w:r w:rsidR="003C07B0" w:rsidRPr="00382A62">
        <w:rPr>
          <w:rFonts w:cs="Arial"/>
          <w:szCs w:val="20"/>
        </w:rPr>
        <w:t xml:space="preserve"> </w:t>
      </w:r>
      <w:r w:rsidR="003C07B0" w:rsidRPr="00382A62">
        <w:rPr>
          <w:rStyle w:val="Textoennegrita"/>
          <w:rFonts w:cs="Arial"/>
          <w:b w:val="0"/>
          <w:bCs w:val="0"/>
          <w:color w:val="2E3130"/>
          <w:szCs w:val="20"/>
          <w:shd w:val="clear" w:color="auto" w:fill="FFFFFF"/>
        </w:rPr>
        <w:t>Secured Overnight Financing Rate</w:t>
      </w:r>
      <w:r w:rsidR="003C07B0" w:rsidRPr="00382A62">
        <w:rPr>
          <w:rStyle w:val="Textoennegrita"/>
          <w:rFonts w:cs="Arial"/>
          <w:color w:val="2E3130"/>
          <w:szCs w:val="20"/>
          <w:shd w:val="clear" w:color="auto" w:fill="FFFFFF"/>
        </w:rPr>
        <w:t xml:space="preserve"> (</w:t>
      </w:r>
      <w:r w:rsidR="003C07B0" w:rsidRPr="00382A62">
        <w:rPr>
          <w:rFonts w:cs="Arial"/>
          <w:szCs w:val="20"/>
        </w:rPr>
        <w:t>SOFR)</w:t>
      </w:r>
      <w:r w:rsidRPr="00382A62">
        <w:rPr>
          <w:rFonts w:cs="Arial"/>
          <w:szCs w:val="20"/>
        </w:rPr>
        <w:t xml:space="preserve"> como tasa de referencia</w:t>
      </w:r>
      <w:r w:rsidR="003C07B0" w:rsidRPr="00382A62">
        <w:rPr>
          <w:rFonts w:cs="Arial"/>
          <w:szCs w:val="20"/>
        </w:rPr>
        <w:t>.  Esto</w:t>
      </w:r>
      <w:r w:rsidRPr="00382A62">
        <w:rPr>
          <w:rFonts w:cs="Arial"/>
          <w:szCs w:val="20"/>
        </w:rPr>
        <w:t xml:space="preserve"> se indicará en el Hecho Relevante de convocatoria respectivo:</w:t>
      </w:r>
    </w:p>
    <w:p w14:paraId="205A4FB1" w14:textId="77777777" w:rsidR="007605E6" w:rsidRPr="00382A62" w:rsidRDefault="007605E6" w:rsidP="007605E6">
      <w:pPr>
        <w:rPr>
          <w:rFonts w:cs="Arial"/>
          <w:b/>
          <w:bCs/>
          <w:szCs w:val="20"/>
        </w:rPr>
      </w:pPr>
      <w:r w:rsidRPr="00382A62">
        <w:rPr>
          <w:rFonts w:cs="Arial"/>
          <w:b/>
          <w:bCs/>
          <w:szCs w:val="20"/>
        </w:rPr>
        <w:t>Características:</w:t>
      </w:r>
    </w:p>
    <w:p w14:paraId="43AFF2EC" w14:textId="77777777" w:rsidR="007605E6" w:rsidRPr="00382A62" w:rsidRDefault="007605E6" w:rsidP="00147CF2">
      <w:pPr>
        <w:pStyle w:val="Prrafodelista"/>
        <w:numPr>
          <w:ilvl w:val="0"/>
          <w:numId w:val="31"/>
        </w:numPr>
        <w:rPr>
          <w:rFonts w:cs="Arial"/>
          <w:szCs w:val="20"/>
        </w:rPr>
      </w:pPr>
      <w:r w:rsidRPr="00382A62">
        <w:rPr>
          <w:rFonts w:cs="Arial"/>
          <w:b/>
          <w:bCs/>
          <w:szCs w:val="20"/>
        </w:rPr>
        <w:t>Tasa Básica Pasiva:</w:t>
      </w:r>
      <w:r w:rsidRPr="00382A62">
        <w:rPr>
          <w:rFonts w:cs="Arial"/>
          <w:szCs w:val="20"/>
        </w:rPr>
        <w:t xml:space="preserve"> será la publicada por el Banco Central de Costa Rica dos días hábiles antes del inicio de cada período de pago de intereses más un premio establecido en puntos porcentuales. La entidad encargada del cálculo y publicación de la tasa es el Banco Central de Costa Rica (BCCR), dicho indicador se publica los miércoles de cada semana y rige a partir del jueves siguiente. La metodología para su cálculo puede ser consultada en el sitio web https://gee.bccr.fi.cr/indicadoreseconomicos/Documentos/DocumentosMetodologiasNotasTecnicas/Definici%C3%B3n%20TBP%20y%20TED%20espa%C3%B1ol.pdf</w:t>
      </w:r>
    </w:p>
    <w:p w14:paraId="5007155C" w14:textId="77777777" w:rsidR="007605E6" w:rsidRPr="00382A62" w:rsidRDefault="007605E6" w:rsidP="00147CF2">
      <w:pPr>
        <w:pStyle w:val="Prrafodelista"/>
        <w:numPr>
          <w:ilvl w:val="0"/>
          <w:numId w:val="31"/>
        </w:numPr>
        <w:rPr>
          <w:rFonts w:cs="Arial"/>
          <w:szCs w:val="20"/>
        </w:rPr>
      </w:pPr>
      <w:r w:rsidRPr="00382A62">
        <w:rPr>
          <w:rFonts w:cs="Arial"/>
          <w:b/>
          <w:bCs/>
          <w:szCs w:val="20"/>
        </w:rPr>
        <w:t>Tasa de Referencia Interbancaria (Tasa TRI):</w:t>
      </w:r>
      <w:r w:rsidRPr="00382A62">
        <w:rPr>
          <w:rFonts w:cs="Arial"/>
          <w:szCs w:val="20"/>
        </w:rPr>
        <w:t xml:space="preserve"> corresponderá a la que sea homóloga a periodicidad de la serie (1, 3, 6, 9, 12 meses), utilizando para este caso, las tasas de los nodos de 1, 3, 6, 9 o 12 meses. La entidad encargada del cálculo de la Tasa TRI corresponde a la empresa Proveedor Integral de Precios de Centroamérica S.A. (PIPCA) y publicada por la Cámara de Bancos e Instituciones Financieras de Costa Rica, los miércoles de cada semana en el sitio web de la cámara de bancos http://camaradebancos.fi.cr/boletin-semanal/. La metodología de cálculo de la tasa TRI puede ser consultada en el sitio web http://camaradebancos.fi.cr/generalidades-y-metodologia-de-calculo/. De acuerdo con dicha metodología, cuando no se dan captaciones para un plazo específico, es decir, cuando no se cuente con información para ese nodo, se repite el dato de la semana anterior. Asimismo, cuando se reporta una sola captación para un determinado nodo, el cálculo estaría sesgado por la entidad que reportó la información. Se mantendrá como sitio alterno para la consulta de la Tasa de Referencia Interbancaria (Tasa TRI), la plataforma de Bloomberg Professional, a través de la función ALLX CRR para obtener la información de dichas tasas.  El momento para la fijación de la Tasa de Referencia Interbancaria, será la publicada por la Cámara al menos dos días hábiles antes del inicio de cada período de pago de intereses, más un premio establecido en puntos porcentuales. La tasa que se establezca regirá para el siguiente período de devengo de intereses.</w:t>
      </w:r>
    </w:p>
    <w:p w14:paraId="3ACB4B28" w14:textId="77777777" w:rsidR="007605E6" w:rsidRPr="00382A62" w:rsidRDefault="007605E6" w:rsidP="00147CF2">
      <w:pPr>
        <w:pStyle w:val="Prrafodelista"/>
        <w:numPr>
          <w:ilvl w:val="0"/>
          <w:numId w:val="31"/>
        </w:numPr>
        <w:rPr>
          <w:rFonts w:cs="Arial"/>
          <w:szCs w:val="20"/>
        </w:rPr>
      </w:pPr>
      <w:r w:rsidRPr="00382A62">
        <w:rPr>
          <w:rFonts w:cs="Arial"/>
          <w:b/>
          <w:bCs/>
          <w:szCs w:val="20"/>
        </w:rPr>
        <w:t>Curva de rendimiento soberana del BCCR:</w:t>
      </w:r>
      <w:r w:rsidRPr="00382A62">
        <w:rPr>
          <w:rFonts w:cs="Arial"/>
          <w:szCs w:val="20"/>
        </w:rPr>
        <w:t xml:space="preserve"> corresponderá a la calculada y publicada por el Banco Central de Costa Rica (BCCR). Las curvas de rendimiento se encuentran disponibles con periodicidad semanal. El cálculo y publicación se realiza los miércoles de cada semana. Los datos publicados reflejan </w:t>
      </w:r>
      <w:r w:rsidRPr="00382A62">
        <w:rPr>
          <w:rFonts w:cs="Arial"/>
          <w:szCs w:val="20"/>
        </w:rPr>
        <w:lastRenderedPageBreak/>
        <w:t>los niveles de tasas de interés vigentes durante la semana inmediatamente anterior a la fecha de publicación (definida de miércoles a martes), y constituyen una referencia adicional para los distintos agentes económicos. Los rendimientos publicados en la curva de rendimiento soberana son netos de impuestos. Cuando se presente una variación en la Tasa de Política Monetaria (TPM), se reestimará la curva soberana por parte del Banco Central de Costa Rica (BCCR) y estará en vigencia desde el mismo día de variación de la Tasa de Política Monetaria y hasta el miércoles siguiente, fecha en que se volverá a actualizar el cálculo. La metodología de cálculo puede ser consultada en el sitio web: https://gee.bccr.fi.cr/indicadoreseconomicos/Documentos/DocumentosMetodologiasNotasTecnicas/Nota%20Metodol%C3%B3gica%20Curva%20de%20Rendimiento%20Soberana%20de%20Costa%20Rica.pdf. La tasa por utilizar corresponderá a la tasa de interés neta sobre la Curva de Rendimiento Soberana en colones calculada por el Banco Central de Costa Rica, asociada a los días al vencimiento calculados entre la fecha de inicio del cupón a la fecha de vencimiento del título, vigente dos días hábiles antes del inicio de cada período de pago de intereses, más la tasa del impuesto sobre la renta aplicable, más un premio establecido en puntos porcentuales.</w:t>
      </w:r>
    </w:p>
    <w:p w14:paraId="240F041E" w14:textId="0A188B99" w:rsidR="007605E6" w:rsidRPr="00382A62" w:rsidRDefault="003C07B0" w:rsidP="00147CF2">
      <w:pPr>
        <w:pStyle w:val="Prrafodelista"/>
        <w:numPr>
          <w:ilvl w:val="0"/>
          <w:numId w:val="31"/>
        </w:numPr>
        <w:rPr>
          <w:rFonts w:cs="Arial"/>
          <w:szCs w:val="20"/>
        </w:rPr>
      </w:pPr>
      <w:r w:rsidRPr="00382A62">
        <w:rPr>
          <w:rStyle w:val="Textoennegrita"/>
          <w:rFonts w:cs="Arial"/>
          <w:color w:val="2E3130"/>
          <w:szCs w:val="20"/>
          <w:shd w:val="clear" w:color="auto" w:fill="FFFFFF"/>
        </w:rPr>
        <w:t>Secured Overnight Financing Rate (</w:t>
      </w:r>
      <w:r w:rsidRPr="00382A62">
        <w:rPr>
          <w:rFonts w:cs="Arial"/>
          <w:b/>
          <w:bCs/>
          <w:szCs w:val="20"/>
        </w:rPr>
        <w:t>SOFR</w:t>
      </w:r>
      <w:r w:rsidRPr="00382A62">
        <w:rPr>
          <w:rFonts w:cs="Arial"/>
          <w:szCs w:val="20"/>
        </w:rPr>
        <w:t>)</w:t>
      </w:r>
      <w:r w:rsidR="007605E6" w:rsidRPr="00382A62">
        <w:rPr>
          <w:rFonts w:cs="Arial"/>
          <w:b/>
          <w:bCs/>
          <w:szCs w:val="20"/>
        </w:rPr>
        <w:t>:</w:t>
      </w:r>
      <w:r w:rsidR="007605E6" w:rsidRPr="00382A62">
        <w:rPr>
          <w:rFonts w:cs="Arial"/>
          <w:szCs w:val="20"/>
        </w:rPr>
        <w:t xml:space="preserve"> </w:t>
      </w:r>
      <w:r w:rsidRPr="00382A62">
        <w:rPr>
          <w:rFonts w:cs="Arial"/>
          <w:szCs w:val="20"/>
        </w:rPr>
        <w:t>L</w:t>
      </w:r>
      <w:r w:rsidRPr="00382A62">
        <w:rPr>
          <w:rFonts w:cs="Arial"/>
          <w:color w:val="2E3130"/>
          <w:szCs w:val="20"/>
          <w:shd w:val="clear" w:color="auto" w:fill="FFFFFF"/>
        </w:rPr>
        <w:t xml:space="preserve">a tasa SOFR es publicada por la Reserva Federal de Nueva York </w:t>
      </w:r>
      <w:r w:rsidR="00E74E62" w:rsidRPr="00382A62">
        <w:rPr>
          <w:rFonts w:cs="Arial"/>
          <w:color w:val="2E3130"/>
          <w:szCs w:val="20"/>
          <w:shd w:val="clear" w:color="auto" w:fill="FFFFFF"/>
        </w:rPr>
        <w:t xml:space="preserve">o el </w:t>
      </w:r>
      <w:r w:rsidR="00E74E62" w:rsidRPr="00382A62">
        <w:rPr>
          <w:rFonts w:cs="Arial"/>
          <w:szCs w:val="20"/>
        </w:rPr>
        <w:t xml:space="preserve">Alternative Reference Rates Committee (ARRC) </w:t>
      </w:r>
      <w:r w:rsidRPr="00382A62">
        <w:rPr>
          <w:rFonts w:cs="Arial"/>
          <w:color w:val="2E3130"/>
          <w:szCs w:val="20"/>
          <w:shd w:val="clear" w:color="auto" w:fill="FFFFFF"/>
        </w:rPr>
        <w:t>desde el año 2018, y refleja el costo a un día de los préstamos garantizados con Repos de títulos del Tesoro Americano.</w:t>
      </w:r>
      <w:r w:rsidRPr="00382A62">
        <w:rPr>
          <w:rFonts w:cs="Arial"/>
          <w:szCs w:val="20"/>
        </w:rPr>
        <w:t xml:space="preserve">  El CMR Group del Mercado de Valores en Chicago, que opera </w:t>
      </w:r>
      <w:r w:rsidR="005D621F" w:rsidRPr="00382A62">
        <w:rPr>
          <w:rFonts w:cs="Arial"/>
          <w:szCs w:val="20"/>
        </w:rPr>
        <w:t>transaccio</w:t>
      </w:r>
      <w:r w:rsidRPr="00382A62">
        <w:rPr>
          <w:rFonts w:cs="Arial"/>
          <w:szCs w:val="20"/>
        </w:rPr>
        <w:t>nes de derivados</w:t>
      </w:r>
      <w:r w:rsidR="00F57032" w:rsidRPr="00382A62">
        <w:rPr>
          <w:rFonts w:cs="Arial"/>
          <w:szCs w:val="20"/>
        </w:rPr>
        <w:t xml:space="preserve"> de tasa de interés</w:t>
      </w:r>
      <w:r w:rsidRPr="00382A62">
        <w:rPr>
          <w:rFonts w:cs="Arial"/>
          <w:szCs w:val="20"/>
        </w:rPr>
        <w:t xml:space="preserve">, publica diariamente las tasas SOFR a </w:t>
      </w:r>
      <w:r w:rsidR="00D43ED8" w:rsidRPr="00382A62">
        <w:rPr>
          <w:rFonts w:cs="Arial"/>
          <w:szCs w:val="20"/>
        </w:rPr>
        <w:t>término</w:t>
      </w:r>
      <w:r w:rsidRPr="00382A62">
        <w:rPr>
          <w:rFonts w:cs="Arial"/>
          <w:szCs w:val="20"/>
        </w:rPr>
        <w:t xml:space="preserve"> para 1, 3, 6, 12 meses y estas serían las referencias que se utilizarían en emisiones de bonos.</w:t>
      </w:r>
      <w:r w:rsidR="00E74E62" w:rsidRPr="00382A62">
        <w:rPr>
          <w:rFonts w:cs="Arial"/>
          <w:szCs w:val="20"/>
        </w:rPr>
        <w:t xml:space="preserve">  Puede ser consultada en la página web </w:t>
      </w:r>
      <w:hyperlink r:id="rId18" w:history="1">
        <w:r w:rsidR="00E74E62" w:rsidRPr="00382A62">
          <w:rPr>
            <w:rStyle w:val="Hipervnculo"/>
            <w:rFonts w:cs="Arial"/>
            <w:szCs w:val="20"/>
          </w:rPr>
          <w:t>https://www.cmegroup.com/market-data/cme-group-benchmark-administration/term-sofr.html</w:t>
        </w:r>
      </w:hyperlink>
      <w:r w:rsidR="00E74E62" w:rsidRPr="00382A62">
        <w:rPr>
          <w:rFonts w:cs="Arial"/>
          <w:szCs w:val="20"/>
        </w:rPr>
        <w:t xml:space="preserve">, ahí mismo se puede consultar su metodología de cálculo. Se utilizará la tasa publicada para la fecha de inicio de cada cupón de intereses publicada en el sitio web mencionado.  Si no existe tasa publicada para ese </w:t>
      </w:r>
      <w:r w:rsidR="00680149" w:rsidRPr="00382A62">
        <w:rPr>
          <w:rFonts w:cs="Arial"/>
          <w:szCs w:val="20"/>
        </w:rPr>
        <w:t>día</w:t>
      </w:r>
      <w:r w:rsidR="00E74E62" w:rsidRPr="00382A62">
        <w:rPr>
          <w:rFonts w:cs="Arial"/>
          <w:szCs w:val="20"/>
        </w:rPr>
        <w:t xml:space="preserve">, se </w:t>
      </w:r>
      <w:r w:rsidR="00680149" w:rsidRPr="00382A62">
        <w:rPr>
          <w:rFonts w:cs="Arial"/>
          <w:szCs w:val="20"/>
        </w:rPr>
        <w:t>utilizará</w:t>
      </w:r>
      <w:r w:rsidR="00E74E62" w:rsidRPr="00382A62">
        <w:rPr>
          <w:rFonts w:cs="Arial"/>
          <w:szCs w:val="20"/>
        </w:rPr>
        <w:t xml:space="preserve"> la tasa del día hábil inmediato anterior</w:t>
      </w:r>
      <w:r w:rsidR="00680149" w:rsidRPr="00382A62">
        <w:rPr>
          <w:rFonts w:cs="Arial"/>
          <w:szCs w:val="20"/>
        </w:rPr>
        <w:t xml:space="preserve"> que está disponible.  En caso de que la tasa SOFR deje de publicarse y sea remplazada; se cambiará por la nueva tasa de referencia internacional, siempre respetando que la nueva tasa sea objetiva y de conocimiento público. Esta debe ser una tasa de referencia utilizada en los mercados internacionales y procurando que la tasa sustituta no tenga un impacto significativo en el rendimiento del bono.  A la nueva tasa se le sumará o restará el margen necesario para que, en el día de sustitución, tanto la nueva tasa como la anterior den como resultado el mismo valor para el cálculo de cupón de intereses.  Este margen se fijará al momento de la sustitución y se mantendrá fijo para los subsiguientes cupones.  Estos cambios deberán ser comunicados a los inversionistas por los canales establecidos por SUGEVAL.</w:t>
      </w:r>
    </w:p>
    <w:p w14:paraId="6F1DAA6B" w14:textId="61CCC521" w:rsidR="007605E6" w:rsidRPr="00382A62" w:rsidRDefault="007605E6" w:rsidP="007605E6">
      <w:pPr>
        <w:rPr>
          <w:rFonts w:cs="Arial"/>
          <w:szCs w:val="20"/>
        </w:rPr>
      </w:pPr>
      <w:r w:rsidRPr="00382A62">
        <w:rPr>
          <w:rFonts w:cs="Arial"/>
          <w:szCs w:val="20"/>
        </w:rPr>
        <w:t>Las tasas de referencias establecidas forman parte de las características de la emisión y van a permanecer durante todo el periodo de la emisión hasta su vencimiento. Esta condición aplica aun cuando se presenten cambios en la metodología de cálculo de las tasas de referencia.</w:t>
      </w:r>
    </w:p>
    <w:p w14:paraId="601FBB90" w14:textId="77777777" w:rsidR="007605E6" w:rsidRPr="00382A62" w:rsidRDefault="007605E6" w:rsidP="007605E6">
      <w:pPr>
        <w:rPr>
          <w:rFonts w:cs="Arial"/>
          <w:szCs w:val="20"/>
        </w:rPr>
      </w:pPr>
      <w:r w:rsidRPr="00382A62">
        <w:rPr>
          <w:rFonts w:cs="Arial"/>
          <w:szCs w:val="20"/>
        </w:rPr>
        <w:lastRenderedPageBreak/>
        <w:t>De no ser posible acceder a la información de la tasa de referencia en el lugar de publicación oficial, se tomará la última referencia disponible para realizar el siguiente pago.</w:t>
      </w:r>
    </w:p>
    <w:p w14:paraId="3C6B6458" w14:textId="77777777" w:rsidR="007605E6" w:rsidRPr="00382A62" w:rsidRDefault="007605E6" w:rsidP="007605E6">
      <w:pPr>
        <w:rPr>
          <w:rFonts w:cs="Arial"/>
          <w:szCs w:val="20"/>
        </w:rPr>
      </w:pPr>
      <w:r w:rsidRPr="00382A62">
        <w:rPr>
          <w:rFonts w:cs="Arial"/>
          <w:szCs w:val="20"/>
        </w:rPr>
        <w:t>En el caso de cese del cálculo de cualquiera de las tasas por parte de las entidades responsables del cálculo, prevalecerá la última tasa publicada, y la misma se mantendrán hasta el vencimiento de la emisión ligada a dicho indicador.</w:t>
      </w:r>
    </w:p>
    <w:p w14:paraId="7EF5666C" w14:textId="77777777" w:rsidR="007605E6" w:rsidRPr="00382A62" w:rsidRDefault="007605E6" w:rsidP="007605E6">
      <w:pPr>
        <w:rPr>
          <w:rFonts w:cs="Arial"/>
          <w:szCs w:val="20"/>
        </w:rPr>
      </w:pPr>
      <w:r w:rsidRPr="00382A62">
        <w:rPr>
          <w:rFonts w:cs="Arial"/>
          <w:szCs w:val="20"/>
        </w:rPr>
        <w:t>Las series podrán tener un piso y techo, esto queda a criterio de FIFCO. En caso de que se decida incluir esta característica, el anuncio se realizará mediante Comunicado de Hecho Relevante al menos dos días hábiles antes de la primera colocación de cada serie.</w:t>
      </w:r>
    </w:p>
    <w:p w14:paraId="27673100" w14:textId="77777777" w:rsidR="007605E6" w:rsidRPr="00382A62" w:rsidRDefault="007605E6" w:rsidP="007605E6">
      <w:pPr>
        <w:pStyle w:val="Prrafodelista"/>
        <w:numPr>
          <w:ilvl w:val="0"/>
          <w:numId w:val="3"/>
        </w:numPr>
        <w:rPr>
          <w:rFonts w:cs="Arial"/>
          <w:b/>
          <w:bCs/>
          <w:szCs w:val="20"/>
        </w:rPr>
      </w:pPr>
      <w:r w:rsidRPr="00382A62">
        <w:rPr>
          <w:rFonts w:cs="Arial"/>
          <w:b/>
          <w:bCs/>
          <w:szCs w:val="20"/>
        </w:rPr>
        <w:t>Forma de colocación</w:t>
      </w:r>
    </w:p>
    <w:p w14:paraId="3CCF98E7" w14:textId="77777777" w:rsidR="007605E6" w:rsidRPr="00382A62" w:rsidRDefault="007605E6" w:rsidP="007605E6">
      <w:pPr>
        <w:rPr>
          <w:rFonts w:cs="Arial"/>
          <w:szCs w:val="20"/>
        </w:rPr>
      </w:pPr>
      <w:r w:rsidRPr="00382A62">
        <w:rPr>
          <w:rFonts w:cs="Arial"/>
          <w:szCs w:val="20"/>
        </w:rPr>
        <w:t>Los programas de emisiones de bonos estandarizados en colones se podrán colocar mediante: subasta, colocación directa y contratos de suscripción.</w:t>
      </w:r>
    </w:p>
    <w:p w14:paraId="0329AFD6" w14:textId="77777777" w:rsidR="007605E6" w:rsidRPr="00382A62" w:rsidRDefault="007605E6" w:rsidP="007605E6">
      <w:pPr>
        <w:rPr>
          <w:rFonts w:cs="Arial"/>
          <w:szCs w:val="20"/>
        </w:rPr>
      </w:pPr>
      <w:r w:rsidRPr="00382A62">
        <w:rPr>
          <w:rFonts w:cs="Arial"/>
          <w:szCs w:val="20"/>
        </w:rPr>
        <w:t xml:space="preserve">La convocatoria dentro o fuera de Bolsa y sus condiciones serán informadas por FIFCO, mediante un Comunicado de Hecho Relevante, al menos dos (2) días hábiles antes de la primera colocación y dos (2) días hábiles antes de las colocaciones posteriores. </w:t>
      </w:r>
    </w:p>
    <w:p w14:paraId="714B5704" w14:textId="77777777" w:rsidR="007605E6" w:rsidRPr="00382A62" w:rsidRDefault="007605E6" w:rsidP="007605E6">
      <w:pPr>
        <w:rPr>
          <w:rFonts w:cs="Arial"/>
          <w:szCs w:val="20"/>
        </w:rPr>
      </w:pPr>
      <w:r w:rsidRPr="00382A62">
        <w:rPr>
          <w:rFonts w:cs="Arial"/>
          <w:szCs w:val="20"/>
        </w:rPr>
        <w:t>En caso de utilizarse un contrato de colocación, FIFCO informará mediante comunicado de Hecho Relevante a más tardar un (1) día hábil después de la firma del contrato: el nombre de los suscriptores, la naturaleza y el plazo de las obligaciones de los intermediarios, el monto a suscribir por cada uno, las compensaciones convenidas y el precio a pagar por los valores.</w:t>
      </w:r>
    </w:p>
    <w:p w14:paraId="72563016" w14:textId="77777777" w:rsidR="007605E6" w:rsidRPr="00382A62" w:rsidRDefault="007605E6" w:rsidP="007605E6">
      <w:pPr>
        <w:pStyle w:val="Prrafodelista"/>
        <w:numPr>
          <w:ilvl w:val="0"/>
          <w:numId w:val="4"/>
        </w:numPr>
        <w:rPr>
          <w:rFonts w:cs="Arial"/>
          <w:i/>
          <w:iCs/>
          <w:szCs w:val="20"/>
        </w:rPr>
      </w:pPr>
      <w:r w:rsidRPr="00382A62">
        <w:rPr>
          <w:rFonts w:cs="Arial"/>
          <w:i/>
          <w:iCs/>
          <w:szCs w:val="20"/>
        </w:rPr>
        <w:t>Colocación fuera de bolsa</w:t>
      </w:r>
    </w:p>
    <w:p w14:paraId="6F7FA1AB" w14:textId="77777777" w:rsidR="007605E6" w:rsidRPr="00382A62" w:rsidRDefault="007605E6" w:rsidP="007605E6">
      <w:pPr>
        <w:rPr>
          <w:rFonts w:cs="Arial"/>
          <w:szCs w:val="20"/>
        </w:rPr>
      </w:pPr>
      <w:r w:rsidRPr="00382A62">
        <w:rPr>
          <w:rFonts w:cs="Arial"/>
          <w:szCs w:val="20"/>
        </w:rPr>
        <w:t xml:space="preserve">Para las colocaciones fuera de bolsa, excepto en el caso de la suscripción en firme por la totalidad de la emisión, se brindará un trato igualitario a los inversionistas en el acceso y difusión de la información sobre la emisión, el mecanismo de colocación y las condiciones de esta. </w:t>
      </w:r>
    </w:p>
    <w:p w14:paraId="0E6A09B2" w14:textId="77777777" w:rsidR="007605E6" w:rsidRPr="00382A62" w:rsidRDefault="007605E6" w:rsidP="007605E6">
      <w:pPr>
        <w:rPr>
          <w:rFonts w:cs="Arial"/>
          <w:szCs w:val="20"/>
        </w:rPr>
      </w:pPr>
      <w:r w:rsidRPr="00382A62">
        <w:rPr>
          <w:rFonts w:cs="Arial"/>
          <w:szCs w:val="20"/>
        </w:rPr>
        <w:t>FIFCO definirá el mecanismo a utilizar y las reglas que aplicará al mecanismo seleccionado.</w:t>
      </w:r>
    </w:p>
    <w:p w14:paraId="1502ACC9" w14:textId="77777777" w:rsidR="007605E6" w:rsidRPr="00382A62" w:rsidRDefault="007605E6" w:rsidP="007605E6">
      <w:pPr>
        <w:pStyle w:val="Prrafodelista"/>
        <w:numPr>
          <w:ilvl w:val="0"/>
          <w:numId w:val="4"/>
        </w:numPr>
        <w:rPr>
          <w:rFonts w:cs="Arial"/>
          <w:i/>
          <w:iCs/>
          <w:szCs w:val="20"/>
        </w:rPr>
      </w:pPr>
      <w:r w:rsidRPr="00382A62">
        <w:rPr>
          <w:rFonts w:cs="Arial"/>
          <w:i/>
          <w:iCs/>
          <w:szCs w:val="20"/>
        </w:rPr>
        <w:t>Colocación por bolsa</w:t>
      </w:r>
    </w:p>
    <w:p w14:paraId="22AB5A90" w14:textId="77777777" w:rsidR="007605E6" w:rsidRDefault="007605E6" w:rsidP="007605E6">
      <w:pPr>
        <w:rPr>
          <w:rFonts w:cs="Arial"/>
          <w:szCs w:val="20"/>
        </w:rPr>
      </w:pPr>
      <w:r w:rsidRPr="00382A62">
        <w:rPr>
          <w:rFonts w:cs="Arial"/>
          <w:szCs w:val="20"/>
        </w:rPr>
        <w:t>Las colocaciones por Bolsa estarán sujetas a los mecanismos y disposiciones que la Bolsa de Valores defina vía reglamentaria, en concordancia con el principio de trato igualitario.</w:t>
      </w:r>
    </w:p>
    <w:p w14:paraId="2F3C8A2B" w14:textId="77777777" w:rsidR="009F36BB" w:rsidRDefault="009F36BB" w:rsidP="007605E6">
      <w:pPr>
        <w:rPr>
          <w:rFonts w:cs="Arial"/>
          <w:szCs w:val="20"/>
        </w:rPr>
      </w:pPr>
    </w:p>
    <w:p w14:paraId="6130E536" w14:textId="77777777" w:rsidR="007E67C9" w:rsidRDefault="007E67C9" w:rsidP="007605E6">
      <w:pPr>
        <w:rPr>
          <w:rFonts w:cs="Arial"/>
          <w:szCs w:val="20"/>
        </w:rPr>
      </w:pPr>
    </w:p>
    <w:p w14:paraId="394956D8" w14:textId="77777777" w:rsidR="007E67C9" w:rsidRDefault="007E67C9" w:rsidP="007605E6">
      <w:pPr>
        <w:rPr>
          <w:rFonts w:cs="Arial"/>
          <w:szCs w:val="20"/>
        </w:rPr>
      </w:pPr>
    </w:p>
    <w:p w14:paraId="17202DC5" w14:textId="77777777" w:rsidR="009F36BB" w:rsidRPr="00382A62" w:rsidRDefault="009F36BB" w:rsidP="007605E6">
      <w:pPr>
        <w:rPr>
          <w:rFonts w:cs="Arial"/>
          <w:szCs w:val="20"/>
        </w:rPr>
      </w:pPr>
    </w:p>
    <w:p w14:paraId="22BDFAFD" w14:textId="4B45B363" w:rsidR="007605E6" w:rsidRPr="00382A62" w:rsidRDefault="007605E6" w:rsidP="007605E6">
      <w:pPr>
        <w:pStyle w:val="Prrafodelista"/>
        <w:numPr>
          <w:ilvl w:val="0"/>
          <w:numId w:val="3"/>
        </w:numPr>
        <w:rPr>
          <w:rFonts w:cs="Arial"/>
          <w:szCs w:val="20"/>
        </w:rPr>
      </w:pPr>
      <w:r w:rsidRPr="00382A62">
        <w:rPr>
          <w:rFonts w:cs="Arial"/>
          <w:b/>
          <w:bCs/>
          <w:szCs w:val="20"/>
        </w:rPr>
        <w:lastRenderedPageBreak/>
        <w:t>Agente colocador</w:t>
      </w:r>
    </w:p>
    <w:p w14:paraId="6D5289FC" w14:textId="77777777" w:rsidR="007605E6" w:rsidRPr="00382A62" w:rsidRDefault="007605E6" w:rsidP="007605E6">
      <w:pPr>
        <w:rPr>
          <w:rFonts w:cs="Arial"/>
          <w:szCs w:val="20"/>
        </w:rPr>
      </w:pPr>
      <w:r w:rsidRPr="00382A62">
        <w:rPr>
          <w:rFonts w:cs="Arial"/>
          <w:szCs w:val="20"/>
        </w:rPr>
        <w:t>Para el caso de una colocación directa, el emisor cumple la función de agente colocador. Por ello, coloca directamente a sus inversionistas y las ofertas de estos, únicamente a la cantidad que se desea comprar al rendimiento o precio previamente establecido. Cuando se utilice el mecanismo de colocación directa para colocaciones posteriores de una emisión, el agente colocador debe revelar a los inversionistas que deseen comprar lo siguiente: el precio y la fecha de la última negociación que se celebró en el mercado secundario en una bolsa de valores, el precio y la fecha de la última oferta de venta en las ruedas de negociación de una bolsa de valores, y la advertencia de que si el inversionista desea realizar su compra a través del mercado secundario, debe considerar que el precio final de una eventual transacción se verá afectado por: las comisiones, los costos de transacción, el mercado donde se realice la operación, así como por los factores que intervienen en la oferta y demanda de los valores en un determinado día. Los documentos o medios que respalden la revelación al inversionista deben estar disponibles para efectos de supervisión.</w:t>
      </w:r>
    </w:p>
    <w:p w14:paraId="12846CBB" w14:textId="77777777" w:rsidR="007605E6" w:rsidRPr="00382A62" w:rsidRDefault="007605E6" w:rsidP="007605E6">
      <w:pPr>
        <w:rPr>
          <w:rFonts w:cs="Arial"/>
          <w:szCs w:val="20"/>
        </w:rPr>
      </w:pPr>
      <w:r w:rsidRPr="00382A62">
        <w:rPr>
          <w:rFonts w:cs="Arial"/>
          <w:szCs w:val="20"/>
        </w:rPr>
        <w:t>Para garantizar el trato igualitario a inversionistas que presenten condiciones similares en aspectos tales como: su naturaleza jurídica, monto de las ofertas, entre otros; el agente colocador debe mantener el rendimiento o precio sin modificaciones durante el horario de recepción de ofertas de un mismo día.</w:t>
      </w:r>
    </w:p>
    <w:p w14:paraId="7D4BEFDC" w14:textId="77777777" w:rsidR="007605E6" w:rsidRPr="00382A62" w:rsidRDefault="007605E6" w:rsidP="007605E6">
      <w:pPr>
        <w:rPr>
          <w:rFonts w:cs="Arial"/>
          <w:szCs w:val="20"/>
        </w:rPr>
      </w:pPr>
      <w:r w:rsidRPr="00382A62">
        <w:rPr>
          <w:rFonts w:cs="Arial"/>
          <w:szCs w:val="20"/>
        </w:rPr>
        <w:t>Una colocación por subasta es aquella en la que el agente colocador ofrece una cantidad o monto a subastar y las ofertas de los inversionistas se refieren tanto a la cantidad o al monto como al rendimiento o precio al que se desea comprar. El agente colocador deberá establecer en forma clara la regla que utilizará para la asignación, así como los casos en que se considerará desierta una subasta. Cuando se organicen subastas y el emisor opte por asignar una cantidad mayor al monto convocado, se deberá realizar la totalidad de las asignaciones a precio único de corte o un único rendimiento de corte para el papel comercial. La posibilidad de asignar una cantidad mayor al monto convocado únicamente podrá utilizarse cuando exista saldo disponible de la emisión. Tanto la posibilidad de declarar desierta una subasta como la de asignar un monto mayor al convocado, deberán indicarse en la convocatoria de la subasta.</w:t>
      </w:r>
    </w:p>
    <w:p w14:paraId="653DD862" w14:textId="77777777" w:rsidR="007605E6" w:rsidRPr="00382A62" w:rsidRDefault="007605E6" w:rsidP="007605E6">
      <w:pPr>
        <w:rPr>
          <w:rFonts w:cs="Arial"/>
          <w:szCs w:val="20"/>
        </w:rPr>
      </w:pPr>
      <w:r w:rsidRPr="00382A62">
        <w:rPr>
          <w:rFonts w:cs="Arial"/>
          <w:szCs w:val="20"/>
        </w:rPr>
        <w:t>El agente colocador debe cumplir, además, excepto en el caso de la suscripción en firme por la totalidad de la emisión, con los siguientes requisitos:</w:t>
      </w:r>
    </w:p>
    <w:p w14:paraId="10A32569" w14:textId="77777777" w:rsidR="007605E6" w:rsidRPr="00382A62" w:rsidRDefault="007605E6" w:rsidP="007605E6">
      <w:pPr>
        <w:pStyle w:val="Prrafodelista"/>
        <w:numPr>
          <w:ilvl w:val="0"/>
          <w:numId w:val="5"/>
        </w:numPr>
        <w:rPr>
          <w:rFonts w:cs="Arial"/>
          <w:szCs w:val="20"/>
        </w:rPr>
      </w:pPr>
      <w:r w:rsidRPr="00382A62">
        <w:rPr>
          <w:rFonts w:cs="Arial"/>
          <w:szCs w:val="20"/>
        </w:rPr>
        <w:t>Trato igualitario a los inversionistas en el acceso y difusión de la información sobre la emisión y el mecanismo de colocación, tanto en relación con los contenidos, como el momento y el medio por el cual se tiene acceso o se difunde la información.</w:t>
      </w:r>
    </w:p>
    <w:p w14:paraId="5DDEDFA5" w14:textId="77777777" w:rsidR="007605E6" w:rsidRPr="00382A62" w:rsidRDefault="007605E6" w:rsidP="007605E6">
      <w:pPr>
        <w:pStyle w:val="Prrafodelista"/>
        <w:numPr>
          <w:ilvl w:val="0"/>
          <w:numId w:val="5"/>
        </w:numPr>
        <w:rPr>
          <w:rFonts w:cs="Arial"/>
          <w:szCs w:val="20"/>
        </w:rPr>
      </w:pPr>
      <w:r w:rsidRPr="00382A62">
        <w:rPr>
          <w:rFonts w:cs="Arial"/>
          <w:szCs w:val="20"/>
        </w:rPr>
        <w:t>Trato igualitario a los inversionistas en las condiciones de la colocación.</w:t>
      </w:r>
    </w:p>
    <w:p w14:paraId="4A36A71D" w14:textId="7AB32FCC" w:rsidR="007605E6" w:rsidRPr="00382A62" w:rsidRDefault="007605E6" w:rsidP="007605E6">
      <w:pPr>
        <w:pStyle w:val="Prrafodelista"/>
        <w:numPr>
          <w:ilvl w:val="0"/>
          <w:numId w:val="5"/>
        </w:numPr>
        <w:rPr>
          <w:rFonts w:cs="Arial"/>
          <w:szCs w:val="20"/>
        </w:rPr>
      </w:pPr>
      <w:r w:rsidRPr="00382A62">
        <w:rPr>
          <w:rFonts w:cs="Arial"/>
          <w:szCs w:val="20"/>
        </w:rPr>
        <w:t xml:space="preserve">Difusión del mecanismo de colocación establecido, así como todas las condiciones y reglas aplicables a éste. El Superintendente debe establecer mediante acuerdo de alcance general las disposiciones aplicables para la revelación del mecanismo de colocación seleccionado, las condiciones y las reglas aplicables a este, así como las características de la emisión que pueden ser reveladas por medio de un Comunicado de Hecho Relevante posterior al registro de la emisión, pero de previo a la colocación. Las </w:t>
      </w:r>
      <w:r w:rsidRPr="00382A62">
        <w:rPr>
          <w:rFonts w:cs="Arial"/>
          <w:szCs w:val="20"/>
        </w:rPr>
        <w:lastRenderedPageBreak/>
        <w:t xml:space="preserve">reglas de asignación no pueden contener ningún elemento a definir durante o después de la colocación. En el caso de las emisiones inscritas anticipadamente y de los programas de emisiones, estas condiciones y las características están definidas en el </w:t>
      </w:r>
      <w:r w:rsidR="00C05AB1" w:rsidRPr="00382A62">
        <w:rPr>
          <w:rFonts w:cs="Arial"/>
          <w:szCs w:val="20"/>
        </w:rPr>
        <w:t xml:space="preserve">Reglamento sobre Oferta Pública de Valores </w:t>
      </w:r>
      <w:r w:rsidRPr="00382A62">
        <w:rPr>
          <w:rFonts w:cs="Arial"/>
          <w:szCs w:val="20"/>
        </w:rPr>
        <w:t>y el agente colocador debe conservar la documentación que acredite el detalle de las ofertas recibidas de los inversionistas y la asignación, la cual debe estar a disposición de la SUGEVAL.</w:t>
      </w:r>
    </w:p>
    <w:p w14:paraId="2DB5EC23" w14:textId="77777777" w:rsidR="007605E6" w:rsidRPr="00382A62" w:rsidRDefault="007605E6" w:rsidP="007605E6">
      <w:pPr>
        <w:rPr>
          <w:rFonts w:cs="Arial"/>
          <w:szCs w:val="20"/>
        </w:rPr>
      </w:pPr>
      <w:r w:rsidRPr="00382A62">
        <w:rPr>
          <w:rFonts w:cs="Arial"/>
          <w:szCs w:val="20"/>
        </w:rPr>
        <w:t>Asimismo, en los mecanismos de colocación directa o subasta, la asignación final podrá quedar condicionada a que se logre colocar la totalidad de la emisión, lo cual debe estar previamente revelado en la convocatoria respectiva.</w:t>
      </w:r>
    </w:p>
    <w:p w14:paraId="13A565C5" w14:textId="77777777" w:rsidR="007605E6" w:rsidRPr="00382A62" w:rsidRDefault="007605E6" w:rsidP="007605E6">
      <w:pPr>
        <w:pStyle w:val="Prrafodelista"/>
        <w:numPr>
          <w:ilvl w:val="0"/>
          <w:numId w:val="3"/>
        </w:numPr>
        <w:rPr>
          <w:rFonts w:cs="Arial"/>
          <w:b/>
          <w:bCs/>
          <w:szCs w:val="20"/>
        </w:rPr>
      </w:pPr>
      <w:r w:rsidRPr="00382A62">
        <w:rPr>
          <w:rFonts w:cs="Arial"/>
          <w:b/>
          <w:bCs/>
          <w:szCs w:val="20"/>
        </w:rPr>
        <w:t>Garantías</w:t>
      </w:r>
    </w:p>
    <w:p w14:paraId="4B3DE373" w14:textId="77777777" w:rsidR="007605E6" w:rsidRPr="00382A62" w:rsidRDefault="007605E6" w:rsidP="007605E6">
      <w:pPr>
        <w:rPr>
          <w:rFonts w:cs="Arial"/>
          <w:szCs w:val="20"/>
        </w:rPr>
      </w:pPr>
      <w:r w:rsidRPr="00382A62">
        <w:rPr>
          <w:rFonts w:cs="Arial"/>
          <w:szCs w:val="20"/>
        </w:rPr>
        <w:t>Las series de los programas de emisiones de bonos estandarizados en colones no cuentan con alguna garantía específica.</w:t>
      </w:r>
    </w:p>
    <w:p w14:paraId="204B850D" w14:textId="77777777" w:rsidR="007605E6" w:rsidRPr="00382A62" w:rsidRDefault="007605E6" w:rsidP="007605E6">
      <w:pPr>
        <w:pStyle w:val="Prrafodelista"/>
        <w:numPr>
          <w:ilvl w:val="0"/>
          <w:numId w:val="3"/>
        </w:numPr>
        <w:rPr>
          <w:rFonts w:cs="Arial"/>
          <w:b/>
          <w:bCs/>
          <w:szCs w:val="20"/>
        </w:rPr>
      </w:pPr>
      <w:r w:rsidRPr="00382A62">
        <w:rPr>
          <w:rFonts w:cs="Arial"/>
          <w:b/>
          <w:bCs/>
          <w:szCs w:val="20"/>
        </w:rPr>
        <w:t>Calificación de riesgo</w:t>
      </w:r>
    </w:p>
    <w:p w14:paraId="0C3C0823" w14:textId="1242ECFA" w:rsidR="007605E6" w:rsidRPr="00382A62" w:rsidRDefault="007605E6" w:rsidP="001C00AF">
      <w:pPr>
        <w:rPr>
          <w:rFonts w:cs="Arial"/>
          <w:szCs w:val="20"/>
        </w:rPr>
      </w:pPr>
      <w:r w:rsidRPr="00382A62">
        <w:rPr>
          <w:rFonts w:cs="Arial"/>
          <w:szCs w:val="20"/>
        </w:rPr>
        <w:t xml:space="preserve">En sesión ordinaria N° </w:t>
      </w:r>
      <w:r w:rsidR="007924D3">
        <w:rPr>
          <w:rFonts w:cs="Arial"/>
          <w:szCs w:val="20"/>
        </w:rPr>
        <w:t>1062024</w:t>
      </w:r>
      <w:r w:rsidRPr="00382A62">
        <w:rPr>
          <w:rFonts w:cs="Arial"/>
          <w:szCs w:val="20"/>
        </w:rPr>
        <w:t xml:space="preserve"> del 0</w:t>
      </w:r>
      <w:r w:rsidR="00C24AF8">
        <w:rPr>
          <w:rFonts w:cs="Arial"/>
          <w:szCs w:val="20"/>
        </w:rPr>
        <w:t>8</w:t>
      </w:r>
      <w:r w:rsidRPr="00382A62">
        <w:rPr>
          <w:rFonts w:cs="Arial"/>
          <w:szCs w:val="20"/>
        </w:rPr>
        <w:t xml:space="preserve"> de </w:t>
      </w:r>
      <w:r w:rsidR="00C24AF8">
        <w:rPr>
          <w:rFonts w:cs="Arial"/>
          <w:szCs w:val="20"/>
        </w:rPr>
        <w:t>mayo</w:t>
      </w:r>
      <w:r w:rsidRPr="00382A62">
        <w:rPr>
          <w:rFonts w:cs="Arial"/>
          <w:szCs w:val="20"/>
        </w:rPr>
        <w:t xml:space="preserve"> de 202</w:t>
      </w:r>
      <w:r w:rsidR="00C24AF8">
        <w:rPr>
          <w:rFonts w:cs="Arial"/>
          <w:szCs w:val="20"/>
        </w:rPr>
        <w:t>4</w:t>
      </w:r>
      <w:r w:rsidRPr="00382A62">
        <w:rPr>
          <w:rFonts w:cs="Arial"/>
          <w:szCs w:val="20"/>
        </w:rPr>
        <w:t>, la empresa Sociedad Calificadora de Riesgo Centroamericana, S.A., basada en</w:t>
      </w:r>
      <w:r w:rsidR="001C00AF" w:rsidRPr="00382A62">
        <w:rPr>
          <w:rFonts w:cs="Arial"/>
          <w:szCs w:val="20"/>
        </w:rPr>
        <w:t xml:space="preserve"> información financiera </w:t>
      </w:r>
      <w:r w:rsidR="00DA7A46" w:rsidRPr="00DA7A46">
        <w:rPr>
          <w:rFonts w:cs="Arial"/>
          <w:szCs w:val="20"/>
        </w:rPr>
        <w:t>a setiembre y auditada a diciembre de 2023</w:t>
      </w:r>
      <w:r w:rsidRPr="00382A62">
        <w:rPr>
          <w:rFonts w:cs="Arial"/>
          <w:szCs w:val="20"/>
        </w:rPr>
        <w:t>, acordó otorgar la calificación scr AAA (CR) para las emisiones F-1 y F-2 y el Programa de Emisión de Bonos Estandarizados G-2020 de Florida Ice and Farm Company, S.A, con una perspectiva estable.</w:t>
      </w:r>
    </w:p>
    <w:p w14:paraId="7610D3F8" w14:textId="22F79257" w:rsidR="007605E6" w:rsidRPr="00382A62" w:rsidRDefault="007605E6" w:rsidP="007605E6">
      <w:pPr>
        <w:rPr>
          <w:rFonts w:cs="Arial"/>
          <w:szCs w:val="20"/>
        </w:rPr>
      </w:pPr>
      <w:r w:rsidRPr="00382A62">
        <w:rPr>
          <w:rFonts w:cs="Arial"/>
          <w:szCs w:val="20"/>
        </w:rPr>
        <w:t xml:space="preserve">La calificación de riesgo scr AAA (CR) se le otorga a "emisores con la más alta capacidad de pago del capital e intereses en los términos y plazos acordados. No se vería afectada ante posibles cambios en el emisor, en la industria a la que pertenece o en la economía. Nivel excelente”. “Perspectiva </w:t>
      </w:r>
      <w:r w:rsidR="00F57032" w:rsidRPr="00382A62">
        <w:rPr>
          <w:rFonts w:cs="Arial"/>
          <w:szCs w:val="20"/>
        </w:rPr>
        <w:t>estable</w:t>
      </w:r>
      <w:r w:rsidRPr="00382A62">
        <w:rPr>
          <w:rFonts w:cs="Arial"/>
          <w:szCs w:val="20"/>
        </w:rPr>
        <w:t xml:space="preserve">: </w:t>
      </w:r>
      <w:r w:rsidR="00F57032" w:rsidRPr="00382A62">
        <w:rPr>
          <w:rFonts w:cs="Arial"/>
          <w:szCs w:val="20"/>
        </w:rPr>
        <w:t>Se percibe una baja probabilidad de que la calificación varíe en el mediano plazo</w:t>
      </w:r>
      <w:r w:rsidRPr="00382A62">
        <w:rPr>
          <w:rFonts w:cs="Arial"/>
          <w:szCs w:val="20"/>
        </w:rPr>
        <w:t>.”</w:t>
      </w:r>
    </w:p>
    <w:p w14:paraId="7EA0C634" w14:textId="77777777" w:rsidR="007605E6" w:rsidRPr="00382A62" w:rsidRDefault="007605E6" w:rsidP="007605E6">
      <w:pPr>
        <w:rPr>
          <w:rFonts w:cs="Arial"/>
          <w:szCs w:val="20"/>
        </w:rPr>
      </w:pPr>
      <w:r w:rsidRPr="00382A62">
        <w:rPr>
          <w:rFonts w:cs="Arial"/>
          <w:szCs w:val="20"/>
        </w:rPr>
        <w:t>La misma se actualiza cada seis meses y se encuentra disponible en la página web de FIFCO, en la Superintendencia General de Valores y en la página web de la Sociedad Calificadora de Riesgos Centroamericana (</w:t>
      </w:r>
      <w:hyperlink r:id="rId19" w:history="1">
        <w:r w:rsidRPr="00382A62">
          <w:rPr>
            <w:rStyle w:val="Hipervnculo"/>
            <w:rFonts w:cs="Arial"/>
            <w:szCs w:val="20"/>
          </w:rPr>
          <w:t>www.scriesgo.com</w:t>
        </w:r>
      </w:hyperlink>
      <w:r w:rsidRPr="00382A62">
        <w:rPr>
          <w:rFonts w:cs="Arial"/>
          <w:szCs w:val="20"/>
        </w:rPr>
        <w:t>).</w:t>
      </w:r>
    </w:p>
    <w:p w14:paraId="78E0B57E" w14:textId="77777777" w:rsidR="007605E6" w:rsidRPr="00382A62" w:rsidRDefault="007605E6" w:rsidP="007605E6">
      <w:pPr>
        <w:pStyle w:val="Prrafodelista"/>
        <w:numPr>
          <w:ilvl w:val="0"/>
          <w:numId w:val="3"/>
        </w:numPr>
        <w:rPr>
          <w:rFonts w:cs="Arial"/>
          <w:szCs w:val="20"/>
        </w:rPr>
      </w:pPr>
      <w:r w:rsidRPr="00382A62">
        <w:rPr>
          <w:rFonts w:cs="Arial"/>
          <w:b/>
          <w:bCs/>
          <w:szCs w:val="20"/>
        </w:rPr>
        <w:t>Redención anticipada</w:t>
      </w:r>
    </w:p>
    <w:p w14:paraId="5F9FA5AC" w14:textId="5966DC7A" w:rsidR="007605E6" w:rsidRPr="00382A62" w:rsidRDefault="007605E6" w:rsidP="007605E6">
      <w:pPr>
        <w:rPr>
          <w:rFonts w:cs="Arial"/>
          <w:szCs w:val="20"/>
        </w:rPr>
      </w:pPr>
      <w:r w:rsidRPr="00382A62">
        <w:rPr>
          <w:rFonts w:cs="Arial"/>
          <w:szCs w:val="20"/>
        </w:rPr>
        <w:t xml:space="preserve">A la fecha de este Prospecto </w:t>
      </w:r>
      <w:r w:rsidR="00F57032" w:rsidRPr="00382A62">
        <w:rPr>
          <w:rFonts w:cs="Arial"/>
          <w:szCs w:val="20"/>
        </w:rPr>
        <w:t xml:space="preserve">la serie G-2020 cuenta con </w:t>
      </w:r>
      <w:r w:rsidRPr="00382A62">
        <w:rPr>
          <w:rFonts w:cs="Arial"/>
          <w:szCs w:val="20"/>
        </w:rPr>
        <w:t>saldo pendiente de colocación</w:t>
      </w:r>
      <w:r w:rsidR="00B622C4" w:rsidRPr="00382A62">
        <w:rPr>
          <w:rFonts w:cs="Arial"/>
          <w:szCs w:val="20"/>
        </w:rPr>
        <w:t xml:space="preserve"> (¢75,000 millones)</w:t>
      </w:r>
      <w:r w:rsidR="00F57032" w:rsidRPr="00382A62">
        <w:rPr>
          <w:rFonts w:cs="Arial"/>
          <w:szCs w:val="20"/>
        </w:rPr>
        <w:t>, ya que no se ha colocado ningún monto</w:t>
      </w:r>
      <w:r w:rsidR="00526121" w:rsidRPr="00382A62">
        <w:rPr>
          <w:rFonts w:cs="Arial"/>
          <w:szCs w:val="20"/>
        </w:rPr>
        <w:t>. N</w:t>
      </w:r>
      <w:r w:rsidRPr="00382A62">
        <w:rPr>
          <w:rFonts w:cs="Arial"/>
          <w:szCs w:val="20"/>
        </w:rPr>
        <w:t>inguna de las emisiones en circulación tiene una opción de redención anticipada.</w:t>
      </w:r>
    </w:p>
    <w:p w14:paraId="0AA39DEA" w14:textId="77777777" w:rsidR="007605E6" w:rsidRPr="00382A62" w:rsidRDefault="007605E6" w:rsidP="007605E6">
      <w:pPr>
        <w:rPr>
          <w:rFonts w:cs="Arial"/>
          <w:szCs w:val="20"/>
        </w:rPr>
      </w:pPr>
      <w:r w:rsidRPr="00382A62">
        <w:rPr>
          <w:rFonts w:cs="Arial"/>
          <w:szCs w:val="20"/>
        </w:rPr>
        <w:t xml:space="preserve">No obstante, las emisiones del Programa de Emisión de Bonos Estandarizados G-2020 podrán tener la opción de redención anticipada, lo cual se comunicará mediante Hecho Relevante dos días hábiles antes de la colocación del primer tracto de cada serie. </w:t>
      </w:r>
    </w:p>
    <w:p w14:paraId="41EDD919" w14:textId="77777777" w:rsidR="007605E6" w:rsidRPr="00382A62" w:rsidRDefault="007605E6" w:rsidP="007605E6">
      <w:pPr>
        <w:rPr>
          <w:rFonts w:cs="Arial"/>
          <w:szCs w:val="20"/>
        </w:rPr>
      </w:pPr>
      <w:r w:rsidRPr="00382A62">
        <w:rPr>
          <w:rFonts w:cs="Arial"/>
          <w:szCs w:val="20"/>
        </w:rPr>
        <w:t xml:space="preserve">Las opciones de redención anticipada son discrecionales del emisor. Dicha redención se realizará en efectivo, al precio que se haya establecido para dicha redención. El precio de redención y la fecha a partir de la cual rige la </w:t>
      </w:r>
      <w:r w:rsidRPr="00382A62">
        <w:rPr>
          <w:rFonts w:cs="Arial"/>
          <w:szCs w:val="20"/>
        </w:rPr>
        <w:lastRenderedPageBreak/>
        <w:t xml:space="preserve">redención serán definidos al menos (2) días antes de la fecha de colocación de las emisiones, a través de un comunicado de Hecho Relevante. El emisor comunicará con al menos diez (10) días hábiles de anticipación, la fecha y el monto a redimir. </w:t>
      </w:r>
    </w:p>
    <w:p w14:paraId="5CAE6BAC" w14:textId="77777777" w:rsidR="007605E6" w:rsidRPr="00382A62" w:rsidRDefault="007605E6" w:rsidP="007605E6">
      <w:pPr>
        <w:rPr>
          <w:rFonts w:cs="Arial"/>
          <w:szCs w:val="20"/>
        </w:rPr>
      </w:pPr>
      <w:r w:rsidRPr="00382A62">
        <w:rPr>
          <w:rFonts w:cs="Arial"/>
          <w:szCs w:val="20"/>
        </w:rPr>
        <w:t>Cuando se realice una redención anticipada, el emisor comunicará a más tardar el día hábil siguiente de la fecha de ejecución de la redención, el nombre de la emisión, la fecha de ejecución de la redención, el monto redimido y el saldo en circulación después de ejecutada la redención, de conformidad con lo establecido por SUGEVAL.</w:t>
      </w:r>
    </w:p>
    <w:p w14:paraId="2A658C4A" w14:textId="77777777" w:rsidR="007605E6" w:rsidRPr="00382A62" w:rsidRDefault="007605E6" w:rsidP="007605E6">
      <w:pPr>
        <w:rPr>
          <w:rFonts w:cs="Arial"/>
          <w:szCs w:val="20"/>
        </w:rPr>
      </w:pPr>
      <w:bookmarkStart w:id="26" w:name="_Toc38898268"/>
      <w:bookmarkStart w:id="27" w:name="_Toc497920504"/>
      <w:bookmarkStart w:id="28" w:name="_Toc482202459"/>
      <w:bookmarkStart w:id="29" w:name="_Toc419371028"/>
      <w:bookmarkStart w:id="30" w:name="_Toc418674515"/>
      <w:r w:rsidRPr="00382A62">
        <w:rPr>
          <w:rFonts w:cs="Arial"/>
          <w:i/>
          <w:iCs/>
          <w:szCs w:val="20"/>
          <w:u w:val="single"/>
        </w:rPr>
        <w:t>Características generales aplicables a las opciones de redención anticipada.</w:t>
      </w:r>
      <w:bookmarkEnd w:id="26"/>
      <w:bookmarkEnd w:id="27"/>
      <w:bookmarkEnd w:id="28"/>
      <w:bookmarkEnd w:id="29"/>
      <w:bookmarkEnd w:id="30"/>
      <w:r w:rsidRPr="00382A62">
        <w:rPr>
          <w:rFonts w:cs="Arial"/>
          <w:szCs w:val="20"/>
        </w:rPr>
        <w:t> </w:t>
      </w:r>
    </w:p>
    <w:p w14:paraId="14C3AE74" w14:textId="77777777" w:rsidR="007605E6" w:rsidRPr="00382A62" w:rsidRDefault="007605E6" w:rsidP="007605E6">
      <w:pPr>
        <w:rPr>
          <w:rFonts w:cs="Arial"/>
          <w:szCs w:val="20"/>
        </w:rPr>
      </w:pPr>
      <w:r w:rsidRPr="00382A62">
        <w:rPr>
          <w:rFonts w:cs="Arial"/>
          <w:szCs w:val="20"/>
        </w:rPr>
        <w:t>Toda opción de redención anticipada podrá efectuarse de manera parcial o total. La fecha de redención anticipada deberá coincidir con una fecha de pago de intereses. El emisor informará a los tenedores mediante Hecho Relevante su decisión de redención anticipada, con al menos diez (10) días hábiles de anticipación a dicha fecha. Los tenedores de las series estandarizadas a redimir no podrán negarse a venderlas.</w:t>
      </w:r>
    </w:p>
    <w:p w14:paraId="32085B21" w14:textId="213BA17D" w:rsidR="007605E6" w:rsidRPr="00382A62" w:rsidRDefault="007605E6" w:rsidP="007605E6">
      <w:pPr>
        <w:rPr>
          <w:rFonts w:cs="Arial"/>
          <w:szCs w:val="20"/>
        </w:rPr>
      </w:pPr>
      <w:r w:rsidRPr="00382A62">
        <w:rPr>
          <w:rFonts w:cs="Arial"/>
          <w:szCs w:val="20"/>
        </w:rPr>
        <w:t>En caso de que la redención sea parcial, ésta se podrá realizar una o más veces a discreción del emisor, no existiendo límites mínimos o máximos sobre el monto a redimir, con la única excepción de que en ningún caso podrá quedar como remanente un saldo de la serie en circulación menor a cien millones de colones, o su equivalente en dólares al tipo de cambio del Banco Central de Costa Rica</w:t>
      </w:r>
      <w:r w:rsidR="00125943">
        <w:rPr>
          <w:rFonts w:cs="Arial"/>
          <w:szCs w:val="20"/>
        </w:rPr>
        <w:t xml:space="preserve"> </w:t>
      </w:r>
      <w:r w:rsidR="00432025" w:rsidRPr="00432025">
        <w:rPr>
          <w:rFonts w:cs="Arial"/>
          <w:szCs w:val="20"/>
        </w:rPr>
        <w:t>o doscientos valores</w:t>
      </w:r>
      <w:r w:rsidRPr="00382A62">
        <w:rPr>
          <w:rFonts w:cs="Arial"/>
          <w:szCs w:val="20"/>
        </w:rPr>
        <w:t>.</w:t>
      </w:r>
    </w:p>
    <w:p w14:paraId="5D37673B" w14:textId="5A251221" w:rsidR="003A1ABB" w:rsidRPr="00382A62" w:rsidRDefault="007605E6" w:rsidP="007605E6">
      <w:pPr>
        <w:rPr>
          <w:rFonts w:cs="Arial"/>
          <w:szCs w:val="20"/>
        </w:rPr>
      </w:pPr>
      <w:r w:rsidRPr="00382A62">
        <w:rPr>
          <w:rFonts w:cs="Arial"/>
          <w:szCs w:val="20"/>
        </w:rPr>
        <w:t>El monto por redimir se distribuirá proporcionalmente entre todos los tenedores de las series a redimir, en función del monto facial de su inversión. En este caso, si la proporción a aplicar resulta en un número de títulos valores con una fracción igual o mayor a 0.5, se redondeará al entero superior, caso contrario se redondeará al entero inferior. La cancelación de la redención parcial o total, según corresponda, se hará por medio de Interclear Central de Valores S.A. y acreditados los montos correspondientes a los inversionistas por medio de las entidades de custodia.</w:t>
      </w:r>
    </w:p>
    <w:p w14:paraId="69FD314B" w14:textId="63EB8418" w:rsidR="007605E6" w:rsidRPr="00382A62" w:rsidRDefault="007605E6" w:rsidP="007605E6">
      <w:pPr>
        <w:rPr>
          <w:rFonts w:cs="Arial"/>
          <w:szCs w:val="20"/>
        </w:rPr>
      </w:pPr>
      <w:r w:rsidRPr="00382A62">
        <w:rPr>
          <w:rFonts w:cs="Arial"/>
          <w:szCs w:val="20"/>
        </w:rPr>
        <w:t>Para efectos de la redención parcial, la fecha para identificar a los inversionistas que se tomarán en consideración, serán aquellos que aparezcan registrados en la Interclear Central de Valores S.A. el día de la fecha de redención.</w:t>
      </w:r>
    </w:p>
    <w:p w14:paraId="3158FFA9" w14:textId="77777777" w:rsidR="007605E6" w:rsidRPr="00382A62" w:rsidRDefault="007605E6" w:rsidP="007605E6">
      <w:pPr>
        <w:pStyle w:val="Prrafodelista"/>
        <w:numPr>
          <w:ilvl w:val="0"/>
          <w:numId w:val="3"/>
        </w:numPr>
        <w:rPr>
          <w:rFonts w:cs="Arial"/>
          <w:b/>
          <w:bCs/>
          <w:szCs w:val="20"/>
        </w:rPr>
      </w:pPr>
      <w:r w:rsidRPr="00382A62">
        <w:rPr>
          <w:rFonts w:cs="Arial"/>
          <w:b/>
          <w:bCs/>
          <w:szCs w:val="20"/>
        </w:rPr>
        <w:t>Destino de los recursos</w:t>
      </w:r>
    </w:p>
    <w:p w14:paraId="54A617E9" w14:textId="1AF1BA17" w:rsidR="007605E6" w:rsidRPr="00382A62" w:rsidRDefault="007605E6" w:rsidP="007605E6">
      <w:pPr>
        <w:rPr>
          <w:rFonts w:cs="Arial"/>
          <w:szCs w:val="20"/>
        </w:rPr>
      </w:pPr>
      <w:r w:rsidRPr="00382A62">
        <w:rPr>
          <w:rFonts w:cs="Arial"/>
          <w:szCs w:val="20"/>
        </w:rPr>
        <w:t xml:space="preserve">El objetivo de las emisiones de Bonos Estandarizados </w:t>
      </w:r>
      <w:r w:rsidR="00C56620" w:rsidRPr="00382A62">
        <w:rPr>
          <w:rFonts w:cs="Arial"/>
          <w:szCs w:val="20"/>
        </w:rPr>
        <w:t>emitidos (</w:t>
      </w:r>
      <w:r w:rsidR="00EE1EB7" w:rsidRPr="00382A62">
        <w:rPr>
          <w:rFonts w:cs="Arial"/>
          <w:szCs w:val="20"/>
        </w:rPr>
        <w:t xml:space="preserve"> </w:t>
      </w:r>
      <w:r w:rsidR="00FE079F" w:rsidRPr="00382A62">
        <w:rPr>
          <w:rFonts w:cs="Arial"/>
          <w:szCs w:val="20"/>
        </w:rPr>
        <w:t>F-1 y F-2</w:t>
      </w:r>
      <w:r w:rsidR="00C56620" w:rsidRPr="00382A62">
        <w:rPr>
          <w:rFonts w:cs="Arial"/>
          <w:szCs w:val="20"/>
        </w:rPr>
        <w:t>)</w:t>
      </w:r>
      <w:r w:rsidR="00FE079F" w:rsidRPr="00382A62">
        <w:rPr>
          <w:rFonts w:cs="Arial"/>
          <w:szCs w:val="20"/>
        </w:rPr>
        <w:t xml:space="preserve"> y el Programa de Emisión de Bonos Estandarizados G-2020</w:t>
      </w:r>
      <w:r w:rsidR="00C56620" w:rsidRPr="00382A62">
        <w:rPr>
          <w:rFonts w:cs="Arial"/>
          <w:szCs w:val="20"/>
        </w:rPr>
        <w:t xml:space="preserve"> </w:t>
      </w:r>
      <w:r w:rsidRPr="00382A62">
        <w:rPr>
          <w:rFonts w:cs="Arial"/>
          <w:szCs w:val="20"/>
        </w:rPr>
        <w:t>es la captación de recursos para capital de trabajo, la inversión de activos productivos de mediano y largo plazo, y/o la sustitución de pasivos financieros. La sustitución de pasivos financieros se hará de conformidad con criterios de oportunidad y conveniencia estratégica en el momento que se reciban los recursos.</w:t>
      </w:r>
    </w:p>
    <w:p w14:paraId="52A0F673" w14:textId="77777777" w:rsidR="007605E6" w:rsidRPr="00382A62" w:rsidRDefault="007605E6" w:rsidP="007605E6">
      <w:pPr>
        <w:pStyle w:val="Prrafodelista"/>
        <w:numPr>
          <w:ilvl w:val="0"/>
          <w:numId w:val="3"/>
        </w:numPr>
        <w:rPr>
          <w:rFonts w:cs="Arial"/>
          <w:b/>
          <w:bCs/>
          <w:szCs w:val="20"/>
        </w:rPr>
      </w:pPr>
      <w:r w:rsidRPr="00382A62">
        <w:rPr>
          <w:rFonts w:cs="Arial"/>
          <w:b/>
          <w:bCs/>
          <w:szCs w:val="20"/>
        </w:rPr>
        <w:t>Costo de la emisión y colocación</w:t>
      </w:r>
    </w:p>
    <w:p w14:paraId="14448A7F" w14:textId="77777777" w:rsidR="00AD76E2" w:rsidRDefault="007605E6" w:rsidP="00AD76E2">
      <w:pPr>
        <w:rPr>
          <w:rFonts w:cs="Arial"/>
          <w:szCs w:val="20"/>
        </w:rPr>
      </w:pPr>
      <w:r w:rsidRPr="00382A62">
        <w:rPr>
          <w:rFonts w:cs="Arial"/>
          <w:szCs w:val="20"/>
        </w:rPr>
        <w:t>Los costos para la autorización y colocación de las emisiones son asumidos por la Compañía y representan, aproximadamente, un 0.5% del total de la emisión</w:t>
      </w:r>
      <w:r w:rsidR="0019044A" w:rsidRPr="00382A62">
        <w:rPr>
          <w:rFonts w:cs="Arial"/>
          <w:szCs w:val="20"/>
        </w:rPr>
        <w:t>.</w:t>
      </w:r>
    </w:p>
    <w:p w14:paraId="0C9E4ABE" w14:textId="77777777" w:rsidR="0099549C" w:rsidRPr="00382A62" w:rsidRDefault="0099549C" w:rsidP="00AD76E2">
      <w:pPr>
        <w:rPr>
          <w:rFonts w:cs="Arial"/>
          <w:szCs w:val="20"/>
        </w:rPr>
      </w:pPr>
    </w:p>
    <w:p w14:paraId="3106184C" w14:textId="1512FB6F" w:rsidR="007605E6" w:rsidRPr="00382A62" w:rsidRDefault="007605E6" w:rsidP="005D621F">
      <w:pPr>
        <w:pStyle w:val="Prrafodelista"/>
        <w:numPr>
          <w:ilvl w:val="0"/>
          <w:numId w:val="3"/>
        </w:numPr>
        <w:rPr>
          <w:rFonts w:cs="Arial"/>
          <w:b/>
          <w:bCs/>
          <w:szCs w:val="20"/>
        </w:rPr>
      </w:pPr>
      <w:r w:rsidRPr="00382A62">
        <w:rPr>
          <w:rFonts w:cs="Arial"/>
          <w:b/>
          <w:bCs/>
          <w:szCs w:val="20"/>
        </w:rPr>
        <w:lastRenderedPageBreak/>
        <w:t>Prelación de pagos</w:t>
      </w:r>
    </w:p>
    <w:p w14:paraId="02C2B411" w14:textId="77777777" w:rsidR="00440CA7" w:rsidRDefault="007605E6" w:rsidP="002E672C">
      <w:pPr>
        <w:rPr>
          <w:rFonts w:cs="Arial"/>
          <w:szCs w:val="20"/>
        </w:rPr>
      </w:pPr>
      <w:r w:rsidRPr="00382A62">
        <w:rPr>
          <w:rFonts w:cs="Arial"/>
          <w:szCs w:val="20"/>
        </w:rPr>
        <w:t>FIFCO aplicará la siguiente regla de prelación de pagos a sus acreedores</w:t>
      </w:r>
      <w:r w:rsidR="002E672C">
        <w:rPr>
          <w:rFonts w:cs="Arial"/>
          <w:szCs w:val="20"/>
        </w:rPr>
        <w:t>. De</w:t>
      </w:r>
      <w:r w:rsidR="002E672C" w:rsidRPr="002E672C">
        <w:rPr>
          <w:rFonts w:cs="Arial"/>
          <w:szCs w:val="20"/>
        </w:rPr>
        <w:t xml:space="preserve"> conformidad con lo establecido en el Artículo 34</w:t>
      </w:r>
      <w:r w:rsidR="00440CA7">
        <w:rPr>
          <w:rFonts w:cs="Arial"/>
          <w:szCs w:val="20"/>
        </w:rPr>
        <w:t xml:space="preserve"> </w:t>
      </w:r>
      <w:r w:rsidR="002E672C" w:rsidRPr="002E672C">
        <w:rPr>
          <w:rFonts w:cs="Arial"/>
          <w:szCs w:val="20"/>
        </w:rPr>
        <w:t xml:space="preserve">de la Ley Concursal de Costa Rica, el orden de prelación de pagos de los créditos concursales ante un eventual proceso de fase concursal liquidatoria de la compañía, sería el siguiente: </w:t>
      </w:r>
    </w:p>
    <w:p w14:paraId="2C1256C3" w14:textId="77777777" w:rsidR="00083034" w:rsidRDefault="002E672C" w:rsidP="002E672C">
      <w:pPr>
        <w:rPr>
          <w:rFonts w:cs="Arial"/>
          <w:szCs w:val="20"/>
        </w:rPr>
      </w:pPr>
      <w:r w:rsidRPr="002E672C">
        <w:rPr>
          <w:rFonts w:cs="Arial"/>
          <w:szCs w:val="20"/>
        </w:rPr>
        <w:t>ARTÍCULO 34- Créditos concursales</w:t>
      </w:r>
    </w:p>
    <w:p w14:paraId="73D180BD" w14:textId="6E0702CC" w:rsidR="00083034" w:rsidRDefault="002E672C" w:rsidP="002E672C">
      <w:pPr>
        <w:rPr>
          <w:rFonts w:cs="Arial"/>
          <w:szCs w:val="20"/>
        </w:rPr>
      </w:pPr>
      <w:r w:rsidRPr="002E672C">
        <w:rPr>
          <w:rFonts w:cs="Arial"/>
          <w:szCs w:val="20"/>
        </w:rPr>
        <w:t>34.1. Clases y prelación. Salvo disposición legal en contrario, los créditos concursales tendrán, por su orden, los siguientes grados de preferencia: 1) Créditos con privilegio especial</w:t>
      </w:r>
      <w:r w:rsidR="00083034">
        <w:rPr>
          <w:rFonts w:cs="Arial"/>
          <w:szCs w:val="20"/>
        </w:rPr>
        <w:t>,</w:t>
      </w:r>
      <w:r w:rsidRPr="002E672C">
        <w:rPr>
          <w:rFonts w:cs="Arial"/>
          <w:szCs w:val="20"/>
        </w:rPr>
        <w:t xml:space="preserve"> 2) Créditos con privilegio general</w:t>
      </w:r>
      <w:r w:rsidR="00083034">
        <w:rPr>
          <w:rFonts w:cs="Arial"/>
          <w:szCs w:val="20"/>
        </w:rPr>
        <w:t xml:space="preserve">, </w:t>
      </w:r>
      <w:r w:rsidRPr="002E672C">
        <w:rPr>
          <w:rFonts w:cs="Arial"/>
          <w:szCs w:val="20"/>
        </w:rPr>
        <w:t>3) Créditos comunes</w:t>
      </w:r>
      <w:r w:rsidR="00083034">
        <w:rPr>
          <w:rFonts w:cs="Arial"/>
          <w:szCs w:val="20"/>
        </w:rPr>
        <w:t xml:space="preserve">, </w:t>
      </w:r>
      <w:r w:rsidRPr="002E672C">
        <w:rPr>
          <w:rFonts w:cs="Arial"/>
          <w:szCs w:val="20"/>
        </w:rPr>
        <w:t xml:space="preserve">4) Créditos subordinados. </w:t>
      </w:r>
    </w:p>
    <w:p w14:paraId="083459FE" w14:textId="7A399722" w:rsidR="007836FA" w:rsidRDefault="002E672C" w:rsidP="002E672C">
      <w:pPr>
        <w:rPr>
          <w:rFonts w:cs="Arial"/>
          <w:szCs w:val="20"/>
        </w:rPr>
      </w:pPr>
      <w:r w:rsidRPr="002E672C">
        <w:rPr>
          <w:rFonts w:cs="Arial"/>
          <w:szCs w:val="20"/>
        </w:rPr>
        <w:t>34.2. Créditos con privilegio especial</w:t>
      </w:r>
      <w:r w:rsidR="00EB6283">
        <w:rPr>
          <w:rFonts w:cs="Arial"/>
          <w:szCs w:val="20"/>
        </w:rPr>
        <w:t xml:space="preserve">. </w:t>
      </w:r>
      <w:r w:rsidRPr="002E672C">
        <w:rPr>
          <w:rFonts w:cs="Arial"/>
          <w:szCs w:val="20"/>
        </w:rPr>
        <w:t>Los acreedores de créditos con privilegio especial tendrán un derecho preferente para el pago de sus créditos, con el producto de la enajenación de los bienes sobre los cuales recae el privilegio, salvo que por ley se disponga otro criterio de prelación para casos especiales. Podrán renunciar a su garantía total o parcialmente. Se considerarán créditos con privilegio especial, los garantizados por: 1) Hipotecas</w:t>
      </w:r>
      <w:r w:rsidR="00237C1F">
        <w:rPr>
          <w:rFonts w:cs="Arial"/>
          <w:szCs w:val="20"/>
        </w:rPr>
        <w:t>,</w:t>
      </w:r>
      <w:r w:rsidRPr="002E672C">
        <w:rPr>
          <w:rFonts w:cs="Arial"/>
          <w:szCs w:val="20"/>
        </w:rPr>
        <w:t xml:space="preserve">  2) Prendas</w:t>
      </w:r>
      <w:r w:rsidR="00237C1F">
        <w:rPr>
          <w:rFonts w:cs="Arial"/>
          <w:szCs w:val="20"/>
        </w:rPr>
        <w:t xml:space="preserve">, </w:t>
      </w:r>
      <w:r w:rsidRPr="002E672C">
        <w:rPr>
          <w:rFonts w:cs="Arial"/>
          <w:szCs w:val="20"/>
        </w:rPr>
        <w:t>3) Fideicomisos de garantía</w:t>
      </w:r>
      <w:r w:rsidR="00237C1F">
        <w:rPr>
          <w:rFonts w:cs="Arial"/>
          <w:szCs w:val="20"/>
        </w:rPr>
        <w:t xml:space="preserve">, </w:t>
      </w:r>
      <w:r w:rsidRPr="002E672C">
        <w:rPr>
          <w:rFonts w:cs="Arial"/>
          <w:szCs w:val="20"/>
        </w:rPr>
        <w:t xml:space="preserve"> 4) Garantías mobiliarias, salvo las provenientes de embargos judiciales por créditos que no gozaban de ellas</w:t>
      </w:r>
      <w:r w:rsidR="00237C1F">
        <w:rPr>
          <w:rFonts w:cs="Arial"/>
          <w:szCs w:val="20"/>
        </w:rPr>
        <w:t xml:space="preserve">, </w:t>
      </w:r>
      <w:r w:rsidRPr="002E672C">
        <w:rPr>
          <w:rFonts w:cs="Arial"/>
          <w:szCs w:val="20"/>
        </w:rPr>
        <w:t>5) Derecho de retención, cuando el acreedor esté en ejercicio de él</w:t>
      </w:r>
      <w:r w:rsidR="00237C1F">
        <w:rPr>
          <w:rFonts w:cs="Arial"/>
          <w:szCs w:val="20"/>
        </w:rPr>
        <w:t xml:space="preserve">, </w:t>
      </w:r>
      <w:r w:rsidRPr="002E672C">
        <w:rPr>
          <w:rFonts w:cs="Arial"/>
          <w:szCs w:val="20"/>
        </w:rPr>
        <w:t xml:space="preserve"> 6) Bienes gananciales</w:t>
      </w:r>
      <w:r w:rsidR="00237C1F">
        <w:rPr>
          <w:rFonts w:cs="Arial"/>
          <w:szCs w:val="20"/>
        </w:rPr>
        <w:t>,</w:t>
      </w:r>
      <w:r w:rsidRPr="002E672C">
        <w:rPr>
          <w:rFonts w:cs="Arial"/>
          <w:szCs w:val="20"/>
        </w:rPr>
        <w:t xml:space="preserve">  7) Los demás que disponga la ley para supuestos especiales. Cuando uno o varios bienes garanticen diferentes créditos, la preferencia de pago será determinada por la ley sustantiva correspondiente. Se pagarán en primer lugar los créditos gravados con hipotecas o prendas legales, sobre los garantizados con hipotecas o prendas de otro tipo. En todo caso, el derecho ganancial se entenderá subordinado al pago de otros créditos con privilegio especial que graven los bienes afectados. Si ejecutada la garantía quedara algún saldo a favor del concurso, formará parte del acervo concursal. Si quedara un saldo al descubierto a favor del acreedor, se considerará crédito común. De lo obtenido por la enajenación de los bienes garantes, se reservará un diez por ciento (10%) en caso de que no existan otros bienes suficientes para pagar en todo o en parte los créditos alimentarios, laborales y los correspondientes a indemnizaciones por daño a la salud y vida de las personas. Si luego de cubrir estos créditos quedara un remanente, este será distribuido proporcionalmente entre cada uno de los acreedores con privilegio especial que hayan aportado a la reserva. </w:t>
      </w:r>
    </w:p>
    <w:p w14:paraId="5AE54236" w14:textId="77777777" w:rsidR="00EB6283" w:rsidRDefault="002E672C" w:rsidP="002E672C">
      <w:pPr>
        <w:rPr>
          <w:rFonts w:cs="Arial"/>
          <w:szCs w:val="20"/>
        </w:rPr>
      </w:pPr>
      <w:r w:rsidRPr="002E672C">
        <w:rPr>
          <w:rFonts w:cs="Arial"/>
          <w:szCs w:val="20"/>
        </w:rPr>
        <w:t>34.3. Créditos con privilegio general</w:t>
      </w:r>
      <w:r w:rsidR="00EB6283">
        <w:rPr>
          <w:rFonts w:cs="Arial"/>
          <w:szCs w:val="20"/>
        </w:rPr>
        <w:t>.</w:t>
      </w:r>
      <w:r w:rsidRPr="002E672C">
        <w:rPr>
          <w:rFonts w:cs="Arial"/>
          <w:szCs w:val="20"/>
        </w:rPr>
        <w:t xml:space="preserve"> Los acreedores con privilegio general tendrán derecho preferente para el reconocimiento y pago de sus créditos, sobre acreedores comunes y subordinados, con el producto de la totalidad del patrimonio del concurso no afectado por privilegios especiales. Podrán renunciar a su garantía total o parcialmente. Se considerarán créditos con privilegio general:</w:t>
      </w:r>
      <w:r w:rsidR="00EB6283">
        <w:rPr>
          <w:rFonts w:cs="Arial"/>
          <w:szCs w:val="20"/>
        </w:rPr>
        <w:t xml:space="preserve"> </w:t>
      </w:r>
      <w:r w:rsidRPr="002E672C">
        <w:rPr>
          <w:rFonts w:cs="Arial"/>
          <w:szCs w:val="20"/>
        </w:rPr>
        <w:t>1) Los alimentarios</w:t>
      </w:r>
      <w:r w:rsidR="00EB6283">
        <w:rPr>
          <w:rFonts w:cs="Arial"/>
          <w:szCs w:val="20"/>
        </w:rPr>
        <w:t>,</w:t>
      </w:r>
      <w:r w:rsidRPr="002E672C">
        <w:rPr>
          <w:rFonts w:cs="Arial"/>
          <w:szCs w:val="20"/>
        </w:rPr>
        <w:t xml:space="preserve"> 2) Los laborales</w:t>
      </w:r>
      <w:r w:rsidR="00EB6283">
        <w:rPr>
          <w:rFonts w:cs="Arial"/>
          <w:szCs w:val="20"/>
        </w:rPr>
        <w:t>,</w:t>
      </w:r>
      <w:r w:rsidRPr="002E672C">
        <w:rPr>
          <w:rFonts w:cs="Arial"/>
          <w:szCs w:val="20"/>
        </w:rPr>
        <w:t xml:space="preserve"> 3) Las indemnizaciones concernientes a daños a la salud o la vida, no cubiertas por seguros</w:t>
      </w:r>
      <w:r w:rsidR="00EB6283">
        <w:rPr>
          <w:rFonts w:cs="Arial"/>
          <w:szCs w:val="20"/>
        </w:rPr>
        <w:t>,</w:t>
      </w:r>
      <w:r w:rsidRPr="002E672C">
        <w:rPr>
          <w:rFonts w:cs="Arial"/>
          <w:szCs w:val="20"/>
        </w:rPr>
        <w:t xml:space="preserve"> 4) Los demás dispuestos por la ley para supuestos especiales. A falta de disposición legal concreta, para su reconocimiento y pago, se respetará el orden indicado. De existir diversos acreedores dentro de una misma categoría de créditos con privilegio general, entre ellos regirá el principio de igualdad concursal. Los acreedores alimentarios y laborales serán pagados inmediatamente por el concurso en cuanto a sus derechos dinerarios, cuando así lo requieran en virtud de resolución ejecutoria que los establezca. De no satisfacerse los créditos en forma inmediata, el interesado </w:t>
      </w:r>
      <w:r w:rsidRPr="002E672C">
        <w:rPr>
          <w:rFonts w:cs="Arial"/>
          <w:szCs w:val="20"/>
        </w:rPr>
        <w:lastRenderedPageBreak/>
        <w:t xml:space="preserve">lo comunicará al tribunal, que adoptará las medidas legales inmediatas para el cumplimiento de las obligaciones. Los acreedores alimentarios y laborales, con resolución ejecutoria a favor que no hayan iniciado su ejecución, también podrán requerir directamente el pago al concurso en los términos antes indicados. </w:t>
      </w:r>
    </w:p>
    <w:p w14:paraId="7969FC5B" w14:textId="77777777" w:rsidR="00EB6283" w:rsidRDefault="002E672C" w:rsidP="002E672C">
      <w:pPr>
        <w:rPr>
          <w:rFonts w:cs="Arial"/>
          <w:szCs w:val="20"/>
        </w:rPr>
      </w:pPr>
      <w:r w:rsidRPr="002E672C">
        <w:rPr>
          <w:rFonts w:cs="Arial"/>
          <w:szCs w:val="20"/>
        </w:rPr>
        <w:t>34.4. Créditos comunes</w:t>
      </w:r>
      <w:r w:rsidR="00EB6283">
        <w:rPr>
          <w:rFonts w:cs="Arial"/>
          <w:szCs w:val="20"/>
        </w:rPr>
        <w:t>.</w:t>
      </w:r>
      <w:r w:rsidRPr="002E672C">
        <w:rPr>
          <w:rFonts w:cs="Arial"/>
          <w:szCs w:val="20"/>
        </w:rPr>
        <w:t xml:space="preserve"> Se considerarán créditos concursales comunes aquellos no incluidos como privilegiados especiales o generales, ni subordinados. </w:t>
      </w:r>
    </w:p>
    <w:p w14:paraId="3C33C68D" w14:textId="5952E8B5" w:rsidR="007605E6" w:rsidRPr="00C97E08" w:rsidRDefault="002E672C" w:rsidP="002E672C">
      <w:pPr>
        <w:rPr>
          <w:rFonts w:cs="Arial"/>
          <w:b/>
          <w:bCs/>
          <w:szCs w:val="20"/>
        </w:rPr>
      </w:pPr>
      <w:r w:rsidRPr="002E672C">
        <w:rPr>
          <w:rFonts w:cs="Arial"/>
          <w:szCs w:val="20"/>
        </w:rPr>
        <w:t>34.5. Créditos subordinados</w:t>
      </w:r>
      <w:r w:rsidR="00EB6283">
        <w:rPr>
          <w:rFonts w:cs="Arial"/>
          <w:szCs w:val="20"/>
        </w:rPr>
        <w:t xml:space="preserve">. </w:t>
      </w:r>
      <w:r w:rsidRPr="002E672C">
        <w:rPr>
          <w:rFonts w:cs="Arial"/>
          <w:szCs w:val="20"/>
        </w:rPr>
        <w:t>Los créditos subordinados serán pagados, de ser posible, luego de cubiertos en su totalidad los créditos comunes. Serán subordinados los siguientes créditos: 1) Aquellos a los que el acreedor voluntariamente les asigne esa condición</w:t>
      </w:r>
      <w:r w:rsidR="00EB6283">
        <w:rPr>
          <w:rFonts w:cs="Arial"/>
          <w:szCs w:val="20"/>
        </w:rPr>
        <w:t>,</w:t>
      </w:r>
      <w:r w:rsidRPr="002E672C">
        <w:rPr>
          <w:rFonts w:cs="Arial"/>
          <w:szCs w:val="20"/>
        </w:rPr>
        <w:t xml:space="preserve"> 2) Los de aquellas personas especialmente relacionadas con el concursado, salvo que se trate de créditos concursales con privilegio general</w:t>
      </w:r>
      <w:r w:rsidR="00E6516F">
        <w:rPr>
          <w:rFonts w:cs="Arial"/>
          <w:szCs w:val="20"/>
        </w:rPr>
        <w:t>,</w:t>
      </w:r>
      <w:r w:rsidR="00EB6283">
        <w:rPr>
          <w:rFonts w:cs="Arial"/>
          <w:szCs w:val="20"/>
        </w:rPr>
        <w:t xml:space="preserve"> </w:t>
      </w:r>
      <w:r w:rsidRPr="002E672C">
        <w:rPr>
          <w:rFonts w:cs="Arial"/>
          <w:szCs w:val="20"/>
        </w:rPr>
        <w:t xml:space="preserve"> 3) Los demás a los que la ley les otorgue esa calificación.</w:t>
      </w:r>
    </w:p>
    <w:p w14:paraId="2954F5E0" w14:textId="77777777" w:rsidR="007605E6" w:rsidRPr="00382A62" w:rsidRDefault="007605E6" w:rsidP="007605E6">
      <w:pPr>
        <w:pStyle w:val="Prrafodelista"/>
        <w:numPr>
          <w:ilvl w:val="0"/>
          <w:numId w:val="3"/>
        </w:numPr>
        <w:rPr>
          <w:rFonts w:cs="Arial"/>
          <w:b/>
          <w:bCs/>
          <w:szCs w:val="20"/>
        </w:rPr>
      </w:pPr>
      <w:r w:rsidRPr="00382A62">
        <w:rPr>
          <w:rFonts w:cs="Arial"/>
          <w:b/>
          <w:bCs/>
          <w:szCs w:val="20"/>
        </w:rPr>
        <w:t>Agente de pago</w:t>
      </w:r>
    </w:p>
    <w:p w14:paraId="3B69665F" w14:textId="11A04DD8" w:rsidR="007605E6" w:rsidRPr="00382A62" w:rsidRDefault="007605E6" w:rsidP="007605E6">
      <w:pPr>
        <w:rPr>
          <w:rFonts w:cs="Arial"/>
          <w:szCs w:val="20"/>
        </w:rPr>
      </w:pPr>
      <w:r w:rsidRPr="00382A62">
        <w:rPr>
          <w:rFonts w:cs="Arial"/>
          <w:szCs w:val="20"/>
        </w:rPr>
        <w:t xml:space="preserve">De conformidad con los procedimientos vigentes, los pagos </w:t>
      </w:r>
      <w:r w:rsidR="00205111" w:rsidRPr="00382A62">
        <w:rPr>
          <w:rFonts w:cs="Arial"/>
          <w:szCs w:val="20"/>
        </w:rPr>
        <w:t xml:space="preserve">correspondientes a las emisiones </w:t>
      </w:r>
      <w:r w:rsidRPr="00382A62">
        <w:rPr>
          <w:rFonts w:cs="Arial"/>
          <w:szCs w:val="20"/>
        </w:rPr>
        <w:t>se realizan por medio de Interclear Central de Valores, S.A.</w:t>
      </w:r>
    </w:p>
    <w:p w14:paraId="558915BD" w14:textId="77777777" w:rsidR="007605E6" w:rsidRPr="00382A62" w:rsidRDefault="007605E6" w:rsidP="007605E6">
      <w:pPr>
        <w:pStyle w:val="Prrafodelista"/>
        <w:numPr>
          <w:ilvl w:val="0"/>
          <w:numId w:val="3"/>
        </w:numPr>
        <w:rPr>
          <w:rFonts w:cs="Arial"/>
          <w:b/>
          <w:bCs/>
          <w:szCs w:val="20"/>
        </w:rPr>
      </w:pPr>
      <w:r w:rsidRPr="00382A62">
        <w:rPr>
          <w:rFonts w:cs="Arial"/>
          <w:b/>
          <w:bCs/>
          <w:szCs w:val="20"/>
        </w:rPr>
        <w:t>Representación por Anotación en Cuenta</w:t>
      </w:r>
    </w:p>
    <w:p w14:paraId="0713DB97" w14:textId="77777777" w:rsidR="007605E6" w:rsidRPr="00382A62" w:rsidRDefault="007605E6" w:rsidP="007605E6">
      <w:pPr>
        <w:rPr>
          <w:rFonts w:cs="Arial"/>
          <w:szCs w:val="20"/>
        </w:rPr>
      </w:pPr>
      <w:r w:rsidRPr="00382A62">
        <w:rPr>
          <w:rFonts w:cs="Arial"/>
          <w:szCs w:val="20"/>
        </w:rPr>
        <w:t>Cada una de las emisiones de los Programa de Bonos Estandarizados estará representada por medio de anotaciones en cuenta a través de Interclear Central de Valores, S.A.</w:t>
      </w:r>
    </w:p>
    <w:p w14:paraId="1FDBE0DC" w14:textId="77777777" w:rsidR="007605E6" w:rsidRPr="00382A62" w:rsidRDefault="007605E6" w:rsidP="007605E6">
      <w:pPr>
        <w:pStyle w:val="Prrafodelista"/>
        <w:numPr>
          <w:ilvl w:val="0"/>
          <w:numId w:val="3"/>
        </w:numPr>
        <w:rPr>
          <w:rFonts w:cs="Arial"/>
          <w:b/>
          <w:bCs/>
          <w:szCs w:val="20"/>
        </w:rPr>
      </w:pPr>
      <w:r w:rsidRPr="00382A62">
        <w:rPr>
          <w:rFonts w:cs="Arial"/>
          <w:b/>
          <w:bCs/>
          <w:szCs w:val="20"/>
        </w:rPr>
        <w:t>Tratamiento tributario para las emisiones</w:t>
      </w:r>
    </w:p>
    <w:p w14:paraId="514E29D1" w14:textId="77777777" w:rsidR="007605E6" w:rsidRPr="00382A62" w:rsidRDefault="007605E6" w:rsidP="007605E6">
      <w:pPr>
        <w:rPr>
          <w:rFonts w:cs="Arial"/>
          <w:szCs w:val="20"/>
        </w:rPr>
      </w:pPr>
      <w:r w:rsidRPr="00382A62">
        <w:rPr>
          <w:rFonts w:cs="Arial"/>
          <w:szCs w:val="20"/>
        </w:rPr>
        <w:t>El tratamiento tributario se encuentra sujeto al ordenamiento jurídico costarricense, de conformidad con lo dispuesto en la ley No. 7092, Ley del Impuesto sobre la Renta para todas aquellas emisiones que se coloquen antes del 1 de julio de 2019. Para emisiones posteriores a esa fecha aplica lo dispuesto en la Ley 9635, titulada Ley de Fortalecimiento de Las Finanzas Públicas, publicada en Gaceta Oficial No. 202 del martes 4 de diciembre del 2018.</w:t>
      </w:r>
    </w:p>
    <w:p w14:paraId="3EA72538" w14:textId="77777777" w:rsidR="007605E6" w:rsidRPr="00382A62" w:rsidRDefault="007605E6" w:rsidP="007605E6">
      <w:pPr>
        <w:rPr>
          <w:rFonts w:cs="Arial"/>
          <w:szCs w:val="20"/>
        </w:rPr>
      </w:pPr>
      <w:r w:rsidRPr="00382A62">
        <w:rPr>
          <w:rFonts w:cs="Arial"/>
          <w:szCs w:val="20"/>
        </w:rPr>
        <w:t>FIFCO es responsable de proceder de conformidad con ese ámbito normativo. Es responsabilidad del adquirente de los valores verificar el tratamiento tributario aplicable a su caso particular de conformidad. Si la emisión es colocada fuera del territorio costarricense, el inversionista es responsable de verificar el tratamiento tributario aplicable en la jurisdicción donde lo adquiera. Las modificaciones futuras en la tasa impositiva aplicable a los intereses serán asumidas directamente por los inversionistas, todo de conformidad con el marco legal vigente.</w:t>
      </w:r>
    </w:p>
    <w:p w14:paraId="2D4BBD92" w14:textId="77777777" w:rsidR="007605E6" w:rsidRPr="00382A62" w:rsidRDefault="007605E6" w:rsidP="007605E6">
      <w:pPr>
        <w:pStyle w:val="Prrafodelista"/>
        <w:numPr>
          <w:ilvl w:val="0"/>
          <w:numId w:val="3"/>
        </w:numPr>
        <w:rPr>
          <w:rFonts w:cs="Arial"/>
          <w:b/>
          <w:bCs/>
          <w:szCs w:val="20"/>
        </w:rPr>
      </w:pPr>
      <w:r w:rsidRPr="00382A62">
        <w:rPr>
          <w:rFonts w:cs="Arial"/>
          <w:b/>
          <w:bCs/>
          <w:szCs w:val="20"/>
        </w:rPr>
        <w:t>Emisiones inscritas en otros mercados</w:t>
      </w:r>
    </w:p>
    <w:p w14:paraId="4DB456EA" w14:textId="77777777" w:rsidR="007605E6" w:rsidRPr="00382A62" w:rsidRDefault="007605E6" w:rsidP="007605E6">
      <w:pPr>
        <w:rPr>
          <w:rFonts w:cs="Arial"/>
          <w:szCs w:val="20"/>
        </w:rPr>
      </w:pPr>
      <w:r w:rsidRPr="00382A62">
        <w:rPr>
          <w:rFonts w:cs="Arial"/>
          <w:szCs w:val="20"/>
        </w:rPr>
        <w:t>FIFCO no tiene emisiones inscritas en otros mercados.</w:t>
      </w:r>
    </w:p>
    <w:p w14:paraId="1A7736C9" w14:textId="77777777" w:rsidR="007605E6" w:rsidRPr="00382A62" w:rsidRDefault="007605E6" w:rsidP="007605E6">
      <w:pPr>
        <w:pStyle w:val="Ttulo3"/>
        <w:numPr>
          <w:ilvl w:val="1"/>
          <w:numId w:val="8"/>
        </w:numPr>
        <w:rPr>
          <w:rFonts w:cs="Arial"/>
          <w:sz w:val="20"/>
          <w:szCs w:val="20"/>
        </w:rPr>
      </w:pPr>
      <w:bookmarkStart w:id="31" w:name="_Toc131092862"/>
      <w:bookmarkStart w:id="32" w:name="_Toc131501061"/>
      <w:bookmarkStart w:id="33" w:name="_Toc169624620"/>
      <w:r w:rsidRPr="00382A62">
        <w:rPr>
          <w:rFonts w:cs="Arial"/>
          <w:sz w:val="20"/>
          <w:szCs w:val="20"/>
        </w:rPr>
        <w:lastRenderedPageBreak/>
        <w:t>Emisión de Acciones</w:t>
      </w:r>
      <w:bookmarkEnd w:id="31"/>
      <w:bookmarkEnd w:id="32"/>
      <w:bookmarkEnd w:id="33"/>
    </w:p>
    <w:p w14:paraId="2A3149A2" w14:textId="77777777" w:rsidR="0032755A" w:rsidRPr="0032755A" w:rsidRDefault="0032755A" w:rsidP="0032755A">
      <w:pPr>
        <w:rPr>
          <w:rFonts w:cs="Arial"/>
          <w:szCs w:val="20"/>
        </w:rPr>
      </w:pPr>
      <w:r w:rsidRPr="0032755A">
        <w:rPr>
          <w:rFonts w:cs="Arial"/>
          <w:szCs w:val="20"/>
        </w:rPr>
        <w:t>La Asamblea General Ordinaria de Accionistas realizada el 19 de marzo del 2024, aprobó, la reducción del Capital Social de Florida Ice and Farm Company, S.A., de ¢87.706.439.000 a ¢ 86,216,675,100. La reducción corresponde a 14,897,639 acciones comunes y nominativas de ¢100,00 cada una, que al 31 de diciembre del 2023 estaban mantenidas en Tesorería.</w:t>
      </w:r>
    </w:p>
    <w:p w14:paraId="6C9BC3EA" w14:textId="2B973E08" w:rsidR="007605E6" w:rsidRDefault="0032755A" w:rsidP="0032755A">
      <w:pPr>
        <w:rPr>
          <w:rFonts w:cs="Arial"/>
          <w:szCs w:val="20"/>
        </w:rPr>
      </w:pPr>
      <w:r w:rsidRPr="0032755A">
        <w:rPr>
          <w:rFonts w:cs="Arial"/>
          <w:szCs w:val="20"/>
        </w:rPr>
        <w:t>Al 31 de diciembre de 2023, el Capital Social Autorizado de la Compañía era de ¢87.706.439.000 (ochenta y siete mil setecientos seis millones cuatrocientos treinta y nueve mil colones), representado por 877.064.390 (ochocientos setenta y siete millones sesenta y cuatro mil trescientos noventa) acciones comunes con un valor nominal de ¢100,00 (cien colones) cada una</w:t>
      </w:r>
      <w:r w:rsidR="007605E6" w:rsidRPr="00382A62">
        <w:rPr>
          <w:rFonts w:cs="Arial"/>
          <w:szCs w:val="20"/>
        </w:rPr>
        <w:t xml:space="preserve">. </w:t>
      </w:r>
    </w:p>
    <w:p w14:paraId="2EB7D58E" w14:textId="77777777" w:rsidR="007605E6" w:rsidRPr="00382A62" w:rsidRDefault="007605E6" w:rsidP="007605E6">
      <w:pPr>
        <w:rPr>
          <w:rFonts w:cs="Arial"/>
          <w:szCs w:val="20"/>
        </w:rPr>
      </w:pPr>
      <w:r w:rsidRPr="00382A62">
        <w:rPr>
          <w:rFonts w:cs="Arial"/>
          <w:szCs w:val="20"/>
        </w:rPr>
        <w:t>La emisión de acciones está inscrita ante Interclear Central de Valores, S.A. mediante el código ISIN CRFIFCOA0015. Actualmente se negocian en la Bolsa Nacional de Valores de Costa Rica con el nemotécnico “FIFCO” y el instrumento “acom”.</w:t>
      </w:r>
    </w:p>
    <w:p w14:paraId="3F5CDC86" w14:textId="056496BD" w:rsidR="0019044A" w:rsidRPr="00382A62" w:rsidRDefault="007605E6" w:rsidP="007605E6">
      <w:pPr>
        <w:rPr>
          <w:rFonts w:cs="Arial"/>
          <w:szCs w:val="20"/>
        </w:rPr>
      </w:pPr>
      <w:r w:rsidRPr="00382A62">
        <w:rPr>
          <w:rFonts w:cs="Arial"/>
          <w:szCs w:val="20"/>
        </w:rPr>
        <w:t>A continuación, se muestra el valor de mercado de las acciones al 3</w:t>
      </w:r>
      <w:r w:rsidR="002F690D" w:rsidRPr="00382A62">
        <w:rPr>
          <w:rFonts w:cs="Arial"/>
          <w:szCs w:val="20"/>
        </w:rPr>
        <w:t>1</w:t>
      </w:r>
      <w:r w:rsidRPr="00382A62">
        <w:rPr>
          <w:rFonts w:cs="Arial"/>
          <w:szCs w:val="20"/>
        </w:rPr>
        <w:t xml:space="preserve"> de </w:t>
      </w:r>
      <w:r w:rsidR="005D267F" w:rsidRPr="00382A62">
        <w:rPr>
          <w:rFonts w:cs="Arial"/>
          <w:szCs w:val="20"/>
        </w:rPr>
        <w:t xml:space="preserve">diciembre </w:t>
      </w:r>
      <w:r w:rsidRPr="00382A62">
        <w:rPr>
          <w:rFonts w:cs="Arial"/>
          <w:szCs w:val="20"/>
        </w:rPr>
        <w:t xml:space="preserve">(30 de </w:t>
      </w:r>
      <w:r w:rsidR="005D267F" w:rsidRPr="00382A62">
        <w:rPr>
          <w:rFonts w:cs="Arial"/>
          <w:szCs w:val="20"/>
        </w:rPr>
        <w:t xml:space="preserve">setiembre antes del </w:t>
      </w:r>
      <w:r w:rsidRPr="00382A62">
        <w:rPr>
          <w:rFonts w:cs="Arial"/>
          <w:szCs w:val="20"/>
        </w:rPr>
        <w:t>2019) de cada uno de los años comprendidos entre 201</w:t>
      </w:r>
      <w:r w:rsidR="006C320C" w:rsidRPr="00382A62">
        <w:rPr>
          <w:rFonts w:cs="Arial"/>
          <w:szCs w:val="20"/>
        </w:rPr>
        <w:t>8</w:t>
      </w:r>
      <w:r w:rsidRPr="00382A62">
        <w:rPr>
          <w:rFonts w:cs="Arial"/>
          <w:szCs w:val="20"/>
        </w:rPr>
        <w:t xml:space="preserve"> y 202</w:t>
      </w:r>
      <w:r w:rsidR="006C320C" w:rsidRPr="00382A62">
        <w:rPr>
          <w:rFonts w:cs="Arial"/>
          <w:szCs w:val="20"/>
        </w:rPr>
        <w:t>3</w:t>
      </w:r>
      <w:r w:rsidRPr="00382A62">
        <w:rPr>
          <w:rFonts w:cs="Arial"/>
          <w:szCs w:val="20"/>
        </w:rPr>
        <w:t>, ambos años inclusive</w:t>
      </w:r>
      <w:r w:rsidR="001D3E59">
        <w:rPr>
          <w:rFonts w:cs="Arial"/>
          <w:szCs w:val="20"/>
        </w:rPr>
        <w:t xml:space="preserve">, y </w:t>
      </w:r>
      <w:r w:rsidRPr="00382A62">
        <w:rPr>
          <w:rFonts w:cs="Arial"/>
          <w:szCs w:val="20"/>
        </w:rPr>
        <w:t>su valor en libros.</w:t>
      </w:r>
    </w:p>
    <w:p w14:paraId="567C7E3D" w14:textId="422ADD1E" w:rsidR="007605E6" w:rsidRDefault="007605E6" w:rsidP="00622AB9">
      <w:pPr>
        <w:pStyle w:val="Descripcin"/>
        <w:spacing w:after="0"/>
        <w:rPr>
          <w:rFonts w:cs="Arial"/>
          <w:szCs w:val="20"/>
        </w:rPr>
      </w:pPr>
      <w:bookmarkStart w:id="34" w:name="_Toc169624699"/>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3</w:t>
      </w:r>
      <w:r w:rsidR="00423C23" w:rsidRPr="00382A62">
        <w:rPr>
          <w:rFonts w:cs="Arial"/>
          <w:noProof/>
          <w:szCs w:val="20"/>
        </w:rPr>
        <w:fldChar w:fldCharType="end"/>
      </w:r>
      <w:r w:rsidRPr="00382A62">
        <w:rPr>
          <w:rFonts w:cs="Arial"/>
          <w:szCs w:val="20"/>
        </w:rPr>
        <w:t xml:space="preserve"> - Valor de Mercado de las acciones al 3</w:t>
      </w:r>
      <w:r w:rsidR="002F690D" w:rsidRPr="00382A62">
        <w:rPr>
          <w:rFonts w:cs="Arial"/>
          <w:szCs w:val="20"/>
        </w:rPr>
        <w:t>1</w:t>
      </w:r>
      <w:r w:rsidRPr="00382A62">
        <w:rPr>
          <w:rFonts w:cs="Arial"/>
          <w:szCs w:val="20"/>
        </w:rPr>
        <w:t xml:space="preserve"> de </w:t>
      </w:r>
      <w:r w:rsidR="002F690D" w:rsidRPr="00382A62">
        <w:rPr>
          <w:rFonts w:cs="Arial"/>
          <w:szCs w:val="20"/>
        </w:rPr>
        <w:t xml:space="preserve">diciembre </w:t>
      </w:r>
      <w:r w:rsidRPr="00382A62">
        <w:rPr>
          <w:rFonts w:cs="Arial"/>
          <w:szCs w:val="20"/>
        </w:rPr>
        <w:t>del año respectivo (1)</w:t>
      </w:r>
      <w:bookmarkEnd w:id="34"/>
    </w:p>
    <w:p w14:paraId="27998ABD" w14:textId="7610970C" w:rsidR="00B50291" w:rsidRPr="00B50291" w:rsidRDefault="00B50291" w:rsidP="00622AB9">
      <w:pPr>
        <w:pStyle w:val="Prrafodelista"/>
        <w:numPr>
          <w:ilvl w:val="0"/>
          <w:numId w:val="57"/>
        </w:numPr>
        <w:jc w:val="center"/>
      </w:pPr>
      <w:r>
        <w:t>Montos en colones -</w:t>
      </w:r>
    </w:p>
    <w:tbl>
      <w:tblPr>
        <w:tblW w:w="610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034"/>
        <w:gridCol w:w="2035"/>
        <w:gridCol w:w="2035"/>
      </w:tblGrid>
      <w:tr w:rsidR="007605E6" w:rsidRPr="00382A62" w14:paraId="2E204060" w14:textId="77777777" w:rsidTr="00D13DFC">
        <w:trPr>
          <w:trHeight w:val="330"/>
          <w:jc w:val="center"/>
        </w:trPr>
        <w:tc>
          <w:tcPr>
            <w:tcW w:w="2034" w:type="dxa"/>
            <w:shd w:val="clear" w:color="auto" w:fill="FFFFFF" w:themeFill="background1"/>
            <w:noWrap/>
            <w:vAlign w:val="center"/>
            <w:hideMark/>
          </w:tcPr>
          <w:p w14:paraId="0103C5F4"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Año</w:t>
            </w:r>
          </w:p>
        </w:tc>
        <w:tc>
          <w:tcPr>
            <w:tcW w:w="2035" w:type="dxa"/>
            <w:shd w:val="clear" w:color="auto" w:fill="FFFFFF" w:themeFill="background1"/>
            <w:noWrap/>
            <w:vAlign w:val="center"/>
            <w:hideMark/>
          </w:tcPr>
          <w:p w14:paraId="08CDC250"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Valor de Mercado</w:t>
            </w:r>
          </w:p>
        </w:tc>
        <w:tc>
          <w:tcPr>
            <w:tcW w:w="2035" w:type="dxa"/>
            <w:shd w:val="clear" w:color="auto" w:fill="FFFFFF" w:themeFill="background1"/>
            <w:noWrap/>
            <w:vAlign w:val="center"/>
            <w:hideMark/>
          </w:tcPr>
          <w:p w14:paraId="58A43208"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Valor en Libros</w:t>
            </w:r>
          </w:p>
        </w:tc>
      </w:tr>
      <w:tr w:rsidR="00991E3C" w:rsidRPr="00382A62" w14:paraId="701DCC72" w14:textId="77777777" w:rsidTr="00D13DFC">
        <w:trPr>
          <w:trHeight w:val="330"/>
          <w:jc w:val="center"/>
        </w:trPr>
        <w:tc>
          <w:tcPr>
            <w:tcW w:w="2034" w:type="dxa"/>
            <w:shd w:val="clear" w:color="auto" w:fill="FFFFFF" w:themeFill="background1"/>
            <w:vAlign w:val="center"/>
            <w:hideMark/>
          </w:tcPr>
          <w:p w14:paraId="26526E68" w14:textId="7E52AAE3" w:rsidR="00991E3C" w:rsidRPr="00382A62" w:rsidRDefault="00991E3C" w:rsidP="00991E3C">
            <w:pPr>
              <w:spacing w:line="276" w:lineRule="auto"/>
              <w:contextualSpacing/>
              <w:jc w:val="center"/>
              <w:rPr>
                <w:rFonts w:cs="Arial"/>
                <w:szCs w:val="20"/>
              </w:rPr>
            </w:pPr>
            <w:r w:rsidRPr="00382A62">
              <w:rPr>
                <w:rFonts w:cs="Arial"/>
                <w:szCs w:val="20"/>
              </w:rPr>
              <w:t>2018 (2)</w:t>
            </w:r>
          </w:p>
        </w:tc>
        <w:tc>
          <w:tcPr>
            <w:tcW w:w="2035" w:type="dxa"/>
            <w:shd w:val="clear" w:color="auto" w:fill="FFFFFF" w:themeFill="background1"/>
            <w:noWrap/>
            <w:vAlign w:val="center"/>
            <w:hideMark/>
          </w:tcPr>
          <w:p w14:paraId="436242DB" w14:textId="37392850" w:rsidR="00991E3C" w:rsidRPr="00382A62" w:rsidRDefault="00991E3C" w:rsidP="00991E3C">
            <w:pPr>
              <w:spacing w:line="276" w:lineRule="auto"/>
              <w:contextualSpacing/>
              <w:jc w:val="center"/>
              <w:rPr>
                <w:rFonts w:cs="Arial"/>
                <w:szCs w:val="20"/>
              </w:rPr>
            </w:pPr>
            <w:r w:rsidRPr="00382A62">
              <w:rPr>
                <w:rFonts w:cs="Arial"/>
                <w:szCs w:val="20"/>
              </w:rPr>
              <w:t>848</w:t>
            </w:r>
            <w:r w:rsidR="00323338">
              <w:rPr>
                <w:rFonts w:cs="Arial"/>
                <w:szCs w:val="20"/>
              </w:rPr>
              <w:t>,0</w:t>
            </w:r>
          </w:p>
        </w:tc>
        <w:tc>
          <w:tcPr>
            <w:tcW w:w="2035" w:type="dxa"/>
            <w:shd w:val="clear" w:color="auto" w:fill="FFFFFF" w:themeFill="background1"/>
            <w:noWrap/>
            <w:vAlign w:val="center"/>
            <w:hideMark/>
          </w:tcPr>
          <w:p w14:paraId="2BAB9271" w14:textId="4DA14946" w:rsidR="00991E3C" w:rsidRPr="00382A62" w:rsidRDefault="00991E3C" w:rsidP="00991E3C">
            <w:pPr>
              <w:spacing w:line="276" w:lineRule="auto"/>
              <w:contextualSpacing/>
              <w:jc w:val="center"/>
              <w:rPr>
                <w:rFonts w:cs="Arial"/>
                <w:szCs w:val="20"/>
              </w:rPr>
            </w:pPr>
            <w:r w:rsidRPr="00382A62">
              <w:rPr>
                <w:rFonts w:cs="Arial"/>
                <w:szCs w:val="20"/>
              </w:rPr>
              <w:t>404,4</w:t>
            </w:r>
          </w:p>
        </w:tc>
      </w:tr>
      <w:tr w:rsidR="00991E3C" w:rsidRPr="00382A62" w14:paraId="1CFEDD1B" w14:textId="77777777" w:rsidTr="00D13DFC">
        <w:trPr>
          <w:trHeight w:val="330"/>
          <w:jc w:val="center"/>
        </w:trPr>
        <w:tc>
          <w:tcPr>
            <w:tcW w:w="2034" w:type="dxa"/>
            <w:shd w:val="clear" w:color="auto" w:fill="FFFFFF" w:themeFill="background1"/>
            <w:vAlign w:val="center"/>
            <w:hideMark/>
          </w:tcPr>
          <w:p w14:paraId="4239119F" w14:textId="67732FB1" w:rsidR="00991E3C" w:rsidRPr="00382A62" w:rsidRDefault="00991E3C" w:rsidP="00991E3C">
            <w:pPr>
              <w:spacing w:line="276" w:lineRule="auto"/>
              <w:contextualSpacing/>
              <w:jc w:val="center"/>
              <w:rPr>
                <w:rFonts w:cs="Arial"/>
                <w:szCs w:val="20"/>
              </w:rPr>
            </w:pPr>
            <w:r w:rsidRPr="00382A62">
              <w:rPr>
                <w:rFonts w:cs="Arial"/>
                <w:szCs w:val="20"/>
              </w:rPr>
              <w:t>2019</w:t>
            </w:r>
          </w:p>
        </w:tc>
        <w:tc>
          <w:tcPr>
            <w:tcW w:w="2035" w:type="dxa"/>
            <w:shd w:val="clear" w:color="auto" w:fill="FFFFFF" w:themeFill="background1"/>
            <w:noWrap/>
            <w:vAlign w:val="center"/>
            <w:hideMark/>
          </w:tcPr>
          <w:p w14:paraId="2265E34B" w14:textId="073C8E4B" w:rsidR="00991E3C" w:rsidRPr="00382A62" w:rsidRDefault="00991E3C" w:rsidP="00991E3C">
            <w:pPr>
              <w:spacing w:line="276" w:lineRule="auto"/>
              <w:contextualSpacing/>
              <w:jc w:val="center"/>
              <w:rPr>
                <w:rFonts w:cs="Arial"/>
                <w:szCs w:val="20"/>
              </w:rPr>
            </w:pPr>
            <w:r w:rsidRPr="00382A62">
              <w:rPr>
                <w:rFonts w:cs="Arial"/>
                <w:szCs w:val="20"/>
              </w:rPr>
              <w:t>674</w:t>
            </w:r>
            <w:r w:rsidR="00323338">
              <w:rPr>
                <w:rFonts w:cs="Arial"/>
                <w:szCs w:val="20"/>
              </w:rPr>
              <w:t>,0</w:t>
            </w:r>
          </w:p>
        </w:tc>
        <w:tc>
          <w:tcPr>
            <w:tcW w:w="2035" w:type="dxa"/>
            <w:shd w:val="clear" w:color="auto" w:fill="FFFFFF" w:themeFill="background1"/>
            <w:noWrap/>
            <w:vAlign w:val="center"/>
            <w:hideMark/>
          </w:tcPr>
          <w:p w14:paraId="39CD889E" w14:textId="0098BE3D" w:rsidR="00991E3C" w:rsidRPr="00382A62" w:rsidRDefault="00991E3C" w:rsidP="00991E3C">
            <w:pPr>
              <w:spacing w:line="276" w:lineRule="auto"/>
              <w:contextualSpacing/>
              <w:jc w:val="center"/>
              <w:rPr>
                <w:rFonts w:cs="Arial"/>
                <w:szCs w:val="20"/>
              </w:rPr>
            </w:pPr>
            <w:r w:rsidRPr="00382A62">
              <w:rPr>
                <w:rFonts w:cs="Arial"/>
                <w:szCs w:val="20"/>
              </w:rPr>
              <w:t>342,1</w:t>
            </w:r>
          </w:p>
        </w:tc>
      </w:tr>
      <w:tr w:rsidR="00991E3C" w:rsidRPr="00382A62" w14:paraId="58CE7312" w14:textId="77777777" w:rsidTr="00D13DFC">
        <w:trPr>
          <w:trHeight w:val="330"/>
          <w:jc w:val="center"/>
        </w:trPr>
        <w:tc>
          <w:tcPr>
            <w:tcW w:w="2034" w:type="dxa"/>
            <w:shd w:val="clear" w:color="auto" w:fill="FFFFFF" w:themeFill="background1"/>
            <w:vAlign w:val="center"/>
            <w:hideMark/>
          </w:tcPr>
          <w:p w14:paraId="78752820" w14:textId="2EB2E212" w:rsidR="00991E3C" w:rsidRPr="00382A62" w:rsidRDefault="00991E3C" w:rsidP="00991E3C">
            <w:pPr>
              <w:spacing w:line="276" w:lineRule="auto"/>
              <w:contextualSpacing/>
              <w:jc w:val="center"/>
              <w:rPr>
                <w:rFonts w:cs="Arial"/>
                <w:szCs w:val="20"/>
              </w:rPr>
            </w:pPr>
            <w:r w:rsidRPr="00382A62">
              <w:rPr>
                <w:rFonts w:cs="Arial"/>
                <w:szCs w:val="20"/>
              </w:rPr>
              <w:t>2020</w:t>
            </w:r>
          </w:p>
        </w:tc>
        <w:tc>
          <w:tcPr>
            <w:tcW w:w="2035" w:type="dxa"/>
            <w:shd w:val="clear" w:color="auto" w:fill="FFFFFF" w:themeFill="background1"/>
            <w:noWrap/>
            <w:vAlign w:val="center"/>
            <w:hideMark/>
          </w:tcPr>
          <w:p w14:paraId="4191533A" w14:textId="58C4B762" w:rsidR="00991E3C" w:rsidRPr="00382A62" w:rsidRDefault="00991E3C" w:rsidP="00991E3C">
            <w:pPr>
              <w:spacing w:line="276" w:lineRule="auto"/>
              <w:contextualSpacing/>
              <w:jc w:val="center"/>
              <w:rPr>
                <w:rFonts w:cs="Arial"/>
                <w:szCs w:val="20"/>
              </w:rPr>
            </w:pPr>
            <w:r w:rsidRPr="00382A62">
              <w:rPr>
                <w:rFonts w:cs="Arial"/>
                <w:szCs w:val="20"/>
              </w:rPr>
              <w:t>537</w:t>
            </w:r>
            <w:r w:rsidR="00323338">
              <w:rPr>
                <w:rFonts w:cs="Arial"/>
                <w:szCs w:val="20"/>
              </w:rPr>
              <w:t>,0</w:t>
            </w:r>
          </w:p>
        </w:tc>
        <w:tc>
          <w:tcPr>
            <w:tcW w:w="2035" w:type="dxa"/>
            <w:shd w:val="clear" w:color="auto" w:fill="FFFFFF" w:themeFill="background1"/>
            <w:noWrap/>
            <w:vAlign w:val="center"/>
            <w:hideMark/>
          </w:tcPr>
          <w:p w14:paraId="7F32BECB" w14:textId="07332B21" w:rsidR="00991E3C" w:rsidRPr="00382A62" w:rsidRDefault="00991E3C" w:rsidP="00991E3C">
            <w:pPr>
              <w:spacing w:line="276" w:lineRule="auto"/>
              <w:contextualSpacing/>
              <w:jc w:val="center"/>
              <w:rPr>
                <w:rFonts w:cs="Arial"/>
                <w:szCs w:val="20"/>
              </w:rPr>
            </w:pPr>
            <w:r w:rsidRPr="00382A62">
              <w:rPr>
                <w:rFonts w:cs="Arial"/>
                <w:szCs w:val="20"/>
              </w:rPr>
              <w:t>350,4</w:t>
            </w:r>
          </w:p>
        </w:tc>
      </w:tr>
      <w:tr w:rsidR="00991E3C" w:rsidRPr="00382A62" w14:paraId="1A9D7108" w14:textId="77777777" w:rsidTr="00D13DFC">
        <w:trPr>
          <w:trHeight w:val="330"/>
          <w:jc w:val="center"/>
        </w:trPr>
        <w:tc>
          <w:tcPr>
            <w:tcW w:w="2034" w:type="dxa"/>
            <w:shd w:val="clear" w:color="auto" w:fill="FFFFFF" w:themeFill="background1"/>
            <w:vAlign w:val="center"/>
          </w:tcPr>
          <w:p w14:paraId="0321672A" w14:textId="12D190D1" w:rsidR="00991E3C" w:rsidRPr="00382A62" w:rsidRDefault="00991E3C" w:rsidP="00991E3C">
            <w:pPr>
              <w:spacing w:line="276" w:lineRule="auto"/>
              <w:contextualSpacing/>
              <w:jc w:val="center"/>
              <w:rPr>
                <w:rFonts w:cs="Arial"/>
                <w:szCs w:val="20"/>
              </w:rPr>
            </w:pPr>
            <w:r w:rsidRPr="00382A62">
              <w:rPr>
                <w:rFonts w:cs="Arial"/>
                <w:szCs w:val="20"/>
              </w:rPr>
              <w:t>2021</w:t>
            </w:r>
          </w:p>
        </w:tc>
        <w:tc>
          <w:tcPr>
            <w:tcW w:w="2035" w:type="dxa"/>
            <w:shd w:val="clear" w:color="auto" w:fill="FFFFFF" w:themeFill="background1"/>
            <w:noWrap/>
            <w:vAlign w:val="center"/>
          </w:tcPr>
          <w:p w14:paraId="337F5FC5" w14:textId="01F789BC" w:rsidR="00991E3C" w:rsidRPr="00382A62" w:rsidRDefault="00991E3C" w:rsidP="00991E3C">
            <w:pPr>
              <w:spacing w:line="276" w:lineRule="auto"/>
              <w:contextualSpacing/>
              <w:jc w:val="center"/>
              <w:rPr>
                <w:rFonts w:cs="Arial"/>
                <w:szCs w:val="20"/>
              </w:rPr>
            </w:pPr>
            <w:r w:rsidRPr="00382A62">
              <w:rPr>
                <w:rFonts w:cs="Arial"/>
                <w:szCs w:val="20"/>
              </w:rPr>
              <w:t>735</w:t>
            </w:r>
            <w:r w:rsidR="00323338">
              <w:rPr>
                <w:rFonts w:cs="Arial"/>
                <w:szCs w:val="20"/>
              </w:rPr>
              <w:t>,0</w:t>
            </w:r>
          </w:p>
        </w:tc>
        <w:tc>
          <w:tcPr>
            <w:tcW w:w="2035" w:type="dxa"/>
            <w:shd w:val="clear" w:color="auto" w:fill="FFFFFF" w:themeFill="background1"/>
            <w:noWrap/>
            <w:vAlign w:val="center"/>
          </w:tcPr>
          <w:p w14:paraId="3889D42C" w14:textId="3D2F1DF3" w:rsidR="00991E3C" w:rsidRPr="00382A62" w:rsidRDefault="00991E3C" w:rsidP="00991E3C">
            <w:pPr>
              <w:spacing w:line="276" w:lineRule="auto"/>
              <w:contextualSpacing/>
              <w:jc w:val="center"/>
              <w:rPr>
                <w:rFonts w:cs="Arial"/>
                <w:szCs w:val="20"/>
              </w:rPr>
            </w:pPr>
            <w:r w:rsidRPr="00382A62">
              <w:rPr>
                <w:rFonts w:cs="Arial"/>
                <w:szCs w:val="20"/>
              </w:rPr>
              <w:t>396,7</w:t>
            </w:r>
          </w:p>
        </w:tc>
      </w:tr>
      <w:tr w:rsidR="00991E3C" w:rsidRPr="00382A62" w14:paraId="78F38D57" w14:textId="77777777" w:rsidTr="00D13DFC">
        <w:trPr>
          <w:trHeight w:val="330"/>
          <w:jc w:val="center"/>
        </w:trPr>
        <w:tc>
          <w:tcPr>
            <w:tcW w:w="2034" w:type="dxa"/>
            <w:shd w:val="clear" w:color="auto" w:fill="FFFFFF" w:themeFill="background1"/>
            <w:vAlign w:val="center"/>
          </w:tcPr>
          <w:p w14:paraId="2505F99A" w14:textId="42759E0F" w:rsidR="00991E3C" w:rsidRPr="00382A62" w:rsidRDefault="00991E3C" w:rsidP="00991E3C">
            <w:pPr>
              <w:spacing w:line="276" w:lineRule="auto"/>
              <w:contextualSpacing/>
              <w:jc w:val="center"/>
              <w:rPr>
                <w:rFonts w:cs="Arial"/>
                <w:szCs w:val="20"/>
              </w:rPr>
            </w:pPr>
            <w:r w:rsidRPr="00382A62">
              <w:rPr>
                <w:rFonts w:cs="Arial"/>
                <w:szCs w:val="20"/>
              </w:rPr>
              <w:t>2022</w:t>
            </w:r>
          </w:p>
        </w:tc>
        <w:tc>
          <w:tcPr>
            <w:tcW w:w="2035" w:type="dxa"/>
            <w:shd w:val="clear" w:color="auto" w:fill="FFFFFF" w:themeFill="background1"/>
            <w:noWrap/>
            <w:vAlign w:val="center"/>
          </w:tcPr>
          <w:p w14:paraId="71455D89" w14:textId="0BCB3B0C" w:rsidR="00991E3C" w:rsidRPr="00382A62" w:rsidRDefault="00991E3C" w:rsidP="00991E3C">
            <w:pPr>
              <w:spacing w:line="276" w:lineRule="auto"/>
              <w:contextualSpacing/>
              <w:jc w:val="center"/>
              <w:rPr>
                <w:rFonts w:cs="Arial"/>
                <w:szCs w:val="20"/>
              </w:rPr>
            </w:pPr>
            <w:r w:rsidRPr="00382A62">
              <w:rPr>
                <w:rFonts w:cs="Arial"/>
                <w:szCs w:val="20"/>
              </w:rPr>
              <w:t>665</w:t>
            </w:r>
            <w:r w:rsidR="00323338">
              <w:rPr>
                <w:rFonts w:cs="Arial"/>
                <w:szCs w:val="20"/>
              </w:rPr>
              <w:t>,0</w:t>
            </w:r>
          </w:p>
        </w:tc>
        <w:tc>
          <w:tcPr>
            <w:tcW w:w="2035" w:type="dxa"/>
            <w:shd w:val="clear" w:color="auto" w:fill="FFFFFF" w:themeFill="background1"/>
            <w:noWrap/>
            <w:vAlign w:val="center"/>
          </w:tcPr>
          <w:p w14:paraId="0D2253BF" w14:textId="20192474" w:rsidR="00991E3C" w:rsidRPr="00382A62" w:rsidRDefault="00991E3C" w:rsidP="00991E3C">
            <w:pPr>
              <w:spacing w:line="276" w:lineRule="auto"/>
              <w:contextualSpacing/>
              <w:jc w:val="center"/>
              <w:rPr>
                <w:rFonts w:cs="Arial"/>
                <w:szCs w:val="20"/>
              </w:rPr>
            </w:pPr>
            <w:r w:rsidRPr="00382A62">
              <w:rPr>
                <w:rFonts w:cs="Arial"/>
                <w:szCs w:val="20"/>
              </w:rPr>
              <w:t>416,4</w:t>
            </w:r>
          </w:p>
        </w:tc>
      </w:tr>
      <w:tr w:rsidR="007605E6" w:rsidRPr="00382A62" w14:paraId="4F2A46D8" w14:textId="77777777" w:rsidTr="00D13DFC">
        <w:trPr>
          <w:trHeight w:val="330"/>
          <w:jc w:val="center"/>
        </w:trPr>
        <w:tc>
          <w:tcPr>
            <w:tcW w:w="2034" w:type="dxa"/>
            <w:shd w:val="clear" w:color="auto" w:fill="FFFFFF" w:themeFill="background1"/>
            <w:vAlign w:val="center"/>
          </w:tcPr>
          <w:p w14:paraId="32824355" w14:textId="1764E674" w:rsidR="007605E6" w:rsidRPr="00382A62" w:rsidRDefault="007605E6" w:rsidP="007D00B2">
            <w:pPr>
              <w:spacing w:line="276" w:lineRule="auto"/>
              <w:contextualSpacing/>
              <w:jc w:val="center"/>
              <w:rPr>
                <w:rFonts w:cs="Arial"/>
                <w:szCs w:val="20"/>
              </w:rPr>
            </w:pPr>
            <w:r w:rsidRPr="00382A62">
              <w:rPr>
                <w:rFonts w:cs="Arial"/>
                <w:szCs w:val="20"/>
              </w:rPr>
              <w:t>202</w:t>
            </w:r>
            <w:r w:rsidR="00991E3C" w:rsidRPr="00382A62">
              <w:rPr>
                <w:rFonts w:cs="Arial"/>
                <w:szCs w:val="20"/>
              </w:rPr>
              <w:t>3</w:t>
            </w:r>
          </w:p>
        </w:tc>
        <w:tc>
          <w:tcPr>
            <w:tcW w:w="2035" w:type="dxa"/>
            <w:shd w:val="clear" w:color="auto" w:fill="FFFFFF" w:themeFill="background1"/>
            <w:noWrap/>
            <w:vAlign w:val="center"/>
          </w:tcPr>
          <w:p w14:paraId="4A5DF01E" w14:textId="6AE3BCF6" w:rsidR="007605E6" w:rsidRPr="00382A62" w:rsidRDefault="007605E6" w:rsidP="007D00B2">
            <w:pPr>
              <w:spacing w:line="276" w:lineRule="auto"/>
              <w:contextualSpacing/>
              <w:jc w:val="center"/>
              <w:rPr>
                <w:rFonts w:cs="Arial"/>
                <w:szCs w:val="20"/>
              </w:rPr>
            </w:pPr>
            <w:r w:rsidRPr="00382A62">
              <w:rPr>
                <w:rFonts w:cs="Arial"/>
                <w:szCs w:val="20"/>
              </w:rPr>
              <w:t>6</w:t>
            </w:r>
            <w:r w:rsidR="00F723EE" w:rsidRPr="00382A62">
              <w:rPr>
                <w:rFonts w:cs="Arial"/>
                <w:szCs w:val="20"/>
              </w:rPr>
              <w:t>49</w:t>
            </w:r>
            <w:r w:rsidR="008B5C1F" w:rsidRPr="00382A62">
              <w:rPr>
                <w:rFonts w:cs="Arial"/>
                <w:szCs w:val="20"/>
              </w:rPr>
              <w:t>,5</w:t>
            </w:r>
          </w:p>
        </w:tc>
        <w:tc>
          <w:tcPr>
            <w:tcW w:w="2035" w:type="dxa"/>
            <w:shd w:val="clear" w:color="auto" w:fill="FFFFFF" w:themeFill="background1"/>
            <w:noWrap/>
            <w:vAlign w:val="center"/>
          </w:tcPr>
          <w:p w14:paraId="10D17961" w14:textId="13D0B04E" w:rsidR="007605E6" w:rsidRPr="00382A62" w:rsidRDefault="0001612A" w:rsidP="007D00B2">
            <w:pPr>
              <w:spacing w:line="276" w:lineRule="auto"/>
              <w:contextualSpacing/>
              <w:jc w:val="center"/>
              <w:rPr>
                <w:rFonts w:cs="Arial"/>
                <w:szCs w:val="20"/>
              </w:rPr>
            </w:pPr>
            <w:r>
              <w:rPr>
                <w:rFonts w:cs="Arial"/>
                <w:szCs w:val="20"/>
              </w:rPr>
              <w:t>427</w:t>
            </w:r>
            <w:r w:rsidR="00FE7682">
              <w:rPr>
                <w:rFonts w:cs="Arial"/>
                <w:szCs w:val="20"/>
              </w:rPr>
              <w:t>.9</w:t>
            </w:r>
          </w:p>
        </w:tc>
      </w:tr>
    </w:tbl>
    <w:p w14:paraId="2E95D0FF" w14:textId="77777777" w:rsidR="002558F5" w:rsidRDefault="002558F5" w:rsidP="0019044A">
      <w:pPr>
        <w:spacing w:after="0" w:line="240" w:lineRule="auto"/>
        <w:rPr>
          <w:rFonts w:cs="Arial"/>
          <w:color w:val="7F7F7F" w:themeColor="text1" w:themeTint="80"/>
          <w:sz w:val="16"/>
          <w:szCs w:val="16"/>
        </w:rPr>
      </w:pPr>
    </w:p>
    <w:p w14:paraId="23ECA6AF" w14:textId="04222FF1" w:rsidR="007605E6" w:rsidRPr="00382A62" w:rsidRDefault="007605E6" w:rsidP="0019044A">
      <w:pPr>
        <w:spacing w:after="0" w:line="240" w:lineRule="auto"/>
        <w:rPr>
          <w:rFonts w:cs="Arial"/>
          <w:color w:val="7F7F7F" w:themeColor="text1" w:themeTint="80"/>
          <w:sz w:val="16"/>
          <w:szCs w:val="16"/>
        </w:rPr>
      </w:pPr>
      <w:r w:rsidRPr="00382A62">
        <w:rPr>
          <w:rFonts w:cs="Arial"/>
          <w:color w:val="7F7F7F" w:themeColor="text1" w:themeTint="80"/>
          <w:sz w:val="16"/>
          <w:szCs w:val="16"/>
        </w:rPr>
        <w:t>Notas:</w:t>
      </w:r>
    </w:p>
    <w:p w14:paraId="48C355B9" w14:textId="77777777" w:rsidR="007605E6" w:rsidRPr="00382A62" w:rsidRDefault="007605E6" w:rsidP="0019044A">
      <w:pPr>
        <w:spacing w:after="0" w:line="240" w:lineRule="auto"/>
        <w:rPr>
          <w:rFonts w:cs="Arial"/>
          <w:color w:val="7F7F7F" w:themeColor="text1" w:themeTint="80"/>
          <w:sz w:val="16"/>
          <w:szCs w:val="16"/>
        </w:rPr>
      </w:pPr>
      <w:r w:rsidRPr="00382A62">
        <w:rPr>
          <w:rFonts w:cs="Arial"/>
          <w:color w:val="7F7F7F" w:themeColor="text1" w:themeTint="80"/>
          <w:sz w:val="16"/>
          <w:szCs w:val="16"/>
        </w:rPr>
        <w:t>(1) El valor en libros se calcula como el patrimonio atribuible a los accionistas dividido entre el valor nominal de las acciones en circulación.</w:t>
      </w:r>
    </w:p>
    <w:p w14:paraId="08BC855C" w14:textId="62438724" w:rsidR="007605E6" w:rsidRPr="00382A62" w:rsidRDefault="007605E6" w:rsidP="0019044A">
      <w:pPr>
        <w:spacing w:after="0" w:line="240" w:lineRule="auto"/>
        <w:rPr>
          <w:rFonts w:cs="Arial"/>
          <w:color w:val="7F7F7F" w:themeColor="text1" w:themeTint="80"/>
          <w:sz w:val="16"/>
          <w:szCs w:val="16"/>
        </w:rPr>
      </w:pPr>
      <w:r w:rsidRPr="00382A62">
        <w:rPr>
          <w:rFonts w:cs="Arial"/>
          <w:color w:val="7F7F7F" w:themeColor="text1" w:themeTint="80"/>
          <w:sz w:val="16"/>
          <w:szCs w:val="16"/>
        </w:rPr>
        <w:t>(2) Al 3</w:t>
      </w:r>
      <w:r w:rsidR="00CD6DE1" w:rsidRPr="00382A62">
        <w:rPr>
          <w:rFonts w:cs="Arial"/>
          <w:color w:val="7F7F7F" w:themeColor="text1" w:themeTint="80"/>
          <w:sz w:val="16"/>
          <w:szCs w:val="16"/>
        </w:rPr>
        <w:t>0</w:t>
      </w:r>
      <w:r w:rsidRPr="00382A62">
        <w:rPr>
          <w:rFonts w:cs="Arial"/>
          <w:color w:val="7F7F7F" w:themeColor="text1" w:themeTint="80"/>
          <w:sz w:val="16"/>
          <w:szCs w:val="16"/>
        </w:rPr>
        <w:t xml:space="preserve"> de </w:t>
      </w:r>
      <w:r w:rsidR="00CD6DE1" w:rsidRPr="00382A62">
        <w:rPr>
          <w:rFonts w:cs="Arial"/>
          <w:color w:val="7F7F7F" w:themeColor="text1" w:themeTint="80"/>
          <w:sz w:val="16"/>
          <w:szCs w:val="16"/>
        </w:rPr>
        <w:t>set</w:t>
      </w:r>
      <w:r w:rsidRPr="00382A62">
        <w:rPr>
          <w:rFonts w:cs="Arial"/>
          <w:color w:val="7F7F7F" w:themeColor="text1" w:themeTint="80"/>
          <w:sz w:val="16"/>
          <w:szCs w:val="16"/>
        </w:rPr>
        <w:t>iembre del año correspondiente.</w:t>
      </w:r>
    </w:p>
    <w:p w14:paraId="4354C428" w14:textId="77777777" w:rsidR="007605E6" w:rsidRPr="00382A62" w:rsidRDefault="007605E6" w:rsidP="007605E6">
      <w:pPr>
        <w:rPr>
          <w:rFonts w:cs="Arial"/>
          <w:szCs w:val="20"/>
        </w:rPr>
      </w:pPr>
    </w:p>
    <w:p w14:paraId="25F6130A" w14:textId="77777777" w:rsidR="007605E6" w:rsidRPr="00382A62" w:rsidRDefault="007605E6" w:rsidP="007605E6">
      <w:pPr>
        <w:rPr>
          <w:rFonts w:cs="Arial"/>
          <w:szCs w:val="20"/>
        </w:rPr>
      </w:pPr>
      <w:r w:rsidRPr="00382A62">
        <w:rPr>
          <w:rFonts w:cs="Arial"/>
          <w:szCs w:val="20"/>
        </w:rPr>
        <w:t>Actualmente, FIFCO no emite acciones para colocar en el mercado accionario. Con la información con que cuenta el Emisor a la fecha, ningún accionista por sí o por interpósita persona tiene más del 10% de las acciones en circulación. Se aclara que el Emisor tiene limitaciones prácticas para conocer las participaciones de los accionistas de forma indirecta, por lo que estos porcentajes pueden variar.</w:t>
      </w:r>
    </w:p>
    <w:p w14:paraId="6C453EAC" w14:textId="77777777" w:rsidR="007605E6" w:rsidRDefault="007605E6" w:rsidP="007605E6">
      <w:pPr>
        <w:rPr>
          <w:rFonts w:cs="Arial"/>
          <w:szCs w:val="20"/>
        </w:rPr>
      </w:pPr>
      <w:r w:rsidRPr="00382A62">
        <w:rPr>
          <w:rFonts w:cs="Arial"/>
          <w:szCs w:val="20"/>
        </w:rPr>
        <w:t>El plazo de inscripción en el Libro de Accionistas es de 1 día hábil, una vez reportados los cambios por parte del sistema de negociación.</w:t>
      </w:r>
    </w:p>
    <w:p w14:paraId="7A44823B" w14:textId="77777777" w:rsidR="007E67C9" w:rsidRPr="00382A62" w:rsidRDefault="007E67C9" w:rsidP="007605E6">
      <w:pPr>
        <w:rPr>
          <w:rFonts w:cs="Arial"/>
          <w:szCs w:val="20"/>
        </w:rPr>
      </w:pPr>
    </w:p>
    <w:p w14:paraId="197A93A8" w14:textId="77777777" w:rsidR="007605E6" w:rsidRPr="00382A62" w:rsidRDefault="007605E6" w:rsidP="00147CF2">
      <w:pPr>
        <w:pStyle w:val="Prrafodelista"/>
        <w:numPr>
          <w:ilvl w:val="0"/>
          <w:numId w:val="32"/>
        </w:numPr>
        <w:rPr>
          <w:rFonts w:cs="Arial"/>
          <w:b/>
          <w:bCs/>
          <w:szCs w:val="20"/>
        </w:rPr>
      </w:pPr>
      <w:r w:rsidRPr="00382A62">
        <w:rPr>
          <w:rFonts w:cs="Arial"/>
          <w:b/>
          <w:bCs/>
          <w:szCs w:val="20"/>
        </w:rPr>
        <w:lastRenderedPageBreak/>
        <w:t>Tratamiento tributario para dividendos</w:t>
      </w:r>
    </w:p>
    <w:p w14:paraId="1535F140" w14:textId="77777777" w:rsidR="006521A9" w:rsidRPr="00382A62" w:rsidRDefault="007605E6" w:rsidP="007605E6">
      <w:pPr>
        <w:rPr>
          <w:rFonts w:cs="Arial"/>
          <w:szCs w:val="20"/>
        </w:rPr>
      </w:pPr>
      <w:r w:rsidRPr="00382A62">
        <w:rPr>
          <w:rFonts w:cs="Arial"/>
          <w:szCs w:val="20"/>
        </w:rPr>
        <w:t xml:space="preserve">Por disposiciones legales establecidas en la Ley 9635, titulada Ley de Fortalecimiento de las Finanzas Públicas, publicada en La Gaceta No. 202 del martes 4 de diciembre del 2018, la Compañía debe aplicar una retención del quince por ciento en el pago o acreditación de los dividendos, excepto cuando se distribuyan dividendos en acciones nominativas de la misma Compañía emisora. Dicha retención constituye un impuesto único y definitivo a cargo del accionista. </w:t>
      </w:r>
    </w:p>
    <w:p w14:paraId="0E7F40D7" w14:textId="413086D3" w:rsidR="007605E6" w:rsidRPr="00382A62" w:rsidRDefault="007605E6" w:rsidP="007605E6">
      <w:pPr>
        <w:rPr>
          <w:rFonts w:cs="Arial"/>
          <w:color w:val="000000" w:themeColor="text1"/>
          <w:szCs w:val="20"/>
        </w:rPr>
      </w:pPr>
      <w:r w:rsidRPr="00382A62">
        <w:rPr>
          <w:rFonts w:cs="Arial"/>
          <w:color w:val="000000" w:themeColor="text1"/>
          <w:szCs w:val="20"/>
        </w:rPr>
        <w:t xml:space="preserve">No corresponderá retener el impuesto del quince por ciento, cuando el accionista demuestre </w:t>
      </w:r>
      <w:r w:rsidR="007C26DB" w:rsidRPr="00382A62">
        <w:rPr>
          <w:rFonts w:cs="Arial"/>
          <w:color w:val="000000" w:themeColor="text1"/>
          <w:szCs w:val="20"/>
        </w:rPr>
        <w:t xml:space="preserve">mediante certificación de Contador Público Autorizado, </w:t>
      </w:r>
      <w:r w:rsidRPr="00382A62">
        <w:rPr>
          <w:rFonts w:cs="Arial"/>
          <w:color w:val="000000" w:themeColor="text1"/>
          <w:szCs w:val="20"/>
        </w:rPr>
        <w:t xml:space="preserve">que es una sociedad de capital domiciliada en Costa Rica, </w:t>
      </w:r>
      <w:r w:rsidR="007C26DB" w:rsidRPr="00382A62">
        <w:rPr>
          <w:rFonts w:cs="Arial"/>
          <w:color w:val="000000" w:themeColor="text1"/>
          <w:szCs w:val="20"/>
        </w:rPr>
        <w:t xml:space="preserve">que </w:t>
      </w:r>
      <w:r w:rsidRPr="00382A62">
        <w:rPr>
          <w:rFonts w:cs="Arial"/>
          <w:color w:val="000000" w:themeColor="text1"/>
          <w:szCs w:val="20"/>
        </w:rPr>
        <w:t>desarroll</w:t>
      </w:r>
      <w:r w:rsidR="007C26DB" w:rsidRPr="00382A62">
        <w:rPr>
          <w:rFonts w:cs="Arial"/>
          <w:color w:val="000000" w:themeColor="text1"/>
          <w:szCs w:val="20"/>
        </w:rPr>
        <w:t>a</w:t>
      </w:r>
      <w:r w:rsidRPr="00382A62">
        <w:rPr>
          <w:rFonts w:cs="Arial"/>
          <w:color w:val="000000" w:themeColor="text1"/>
          <w:szCs w:val="20"/>
        </w:rPr>
        <w:t xml:space="preserve"> una actividad lucrativa y esté sujeta al Impuesto sobre las Utilidades</w:t>
      </w:r>
      <w:r w:rsidR="003E25EC" w:rsidRPr="00382A62">
        <w:rPr>
          <w:rFonts w:cs="Arial"/>
          <w:color w:val="000000" w:themeColor="text1"/>
          <w:szCs w:val="20"/>
        </w:rPr>
        <w:t xml:space="preserve"> o</w:t>
      </w:r>
      <w:r w:rsidR="003E25EC" w:rsidRPr="00382A62">
        <w:rPr>
          <w:rFonts w:cs="Arial"/>
          <w:color w:val="000000" w:themeColor="text1"/>
          <w:szCs w:val="20"/>
          <w:lang w:eastAsia="es-CR"/>
        </w:rPr>
        <w:t xml:space="preserve"> al de rentas y ganancias y pérdidas de capital, en el último periodo fiscal cerrado. La certificación indicada debe emitirse en cumplimiento de lo dispuesto por el Colegio de Contadores Públicos en la Circular 25-2022, denominado “</w:t>
      </w:r>
      <w:r w:rsidR="003E25EC" w:rsidRPr="00382A62">
        <w:rPr>
          <w:rFonts w:cs="Arial"/>
          <w:color w:val="000000" w:themeColor="text1"/>
          <w:szCs w:val="20"/>
        </w:rPr>
        <w:t>Guía Mínima de Requisitos para realizar la Emisión de la Certificación para Efectos Tributarios (Actividad Lucrativa de una Sociedad de Capital Domiciliada en Costa Rica)” del 7 de junio de 2022</w:t>
      </w:r>
      <w:r w:rsidRPr="00382A62">
        <w:rPr>
          <w:rFonts w:cs="Arial"/>
          <w:color w:val="000000" w:themeColor="text1"/>
          <w:szCs w:val="20"/>
        </w:rPr>
        <w:t>.</w:t>
      </w:r>
      <w:r w:rsidR="003858D6" w:rsidRPr="00382A62">
        <w:rPr>
          <w:rFonts w:cs="Arial"/>
          <w:color w:val="000000" w:themeColor="text1"/>
          <w:szCs w:val="20"/>
        </w:rPr>
        <w:t xml:space="preserve"> </w:t>
      </w:r>
    </w:p>
    <w:p w14:paraId="42E74369" w14:textId="77777777" w:rsidR="007605E6" w:rsidRPr="00382A62" w:rsidRDefault="007605E6" w:rsidP="00147CF2">
      <w:pPr>
        <w:pStyle w:val="Prrafodelista"/>
        <w:numPr>
          <w:ilvl w:val="0"/>
          <w:numId w:val="32"/>
        </w:numPr>
        <w:rPr>
          <w:rFonts w:cs="Arial"/>
          <w:b/>
          <w:bCs/>
          <w:szCs w:val="20"/>
        </w:rPr>
      </w:pPr>
      <w:r w:rsidRPr="00382A62">
        <w:rPr>
          <w:rFonts w:cs="Arial"/>
          <w:b/>
          <w:bCs/>
          <w:szCs w:val="20"/>
        </w:rPr>
        <w:t>Asamblea de accionistas</w:t>
      </w:r>
    </w:p>
    <w:p w14:paraId="3D11DBAD" w14:textId="77777777" w:rsidR="007605E6" w:rsidRPr="00382A62" w:rsidRDefault="007605E6" w:rsidP="007605E6">
      <w:pPr>
        <w:rPr>
          <w:rFonts w:cs="Arial"/>
          <w:szCs w:val="20"/>
        </w:rPr>
      </w:pPr>
      <w:r w:rsidRPr="00382A62">
        <w:rPr>
          <w:rFonts w:cs="Arial"/>
          <w:szCs w:val="20"/>
        </w:rPr>
        <w:t>La persona titular de acciones tendrá derecho a voto en la Asamblea de Accionistas, para lo cual, la convocatoria se hará mediante publicación de un aviso en uno de los periódicos de mayor circulación del país, por lo menos nueve días antes de realizarse la Asamblea, sin considerar el día de la publicación de la convocatoria ni el día de la celebración de la Asamblea de Accionistas.</w:t>
      </w:r>
    </w:p>
    <w:p w14:paraId="71254F17" w14:textId="77777777" w:rsidR="007605E6" w:rsidRPr="00382A62" w:rsidRDefault="007605E6" w:rsidP="00147CF2">
      <w:pPr>
        <w:pStyle w:val="Prrafodelista"/>
        <w:numPr>
          <w:ilvl w:val="0"/>
          <w:numId w:val="32"/>
        </w:numPr>
        <w:rPr>
          <w:rFonts w:cs="Arial"/>
          <w:b/>
          <w:bCs/>
          <w:szCs w:val="20"/>
        </w:rPr>
      </w:pPr>
      <w:r w:rsidRPr="00382A62">
        <w:rPr>
          <w:rFonts w:cs="Arial"/>
          <w:b/>
          <w:bCs/>
          <w:szCs w:val="20"/>
        </w:rPr>
        <w:t>Inmovilización o desmaterialización de acciones</w:t>
      </w:r>
    </w:p>
    <w:p w14:paraId="3F581DFE" w14:textId="53A45D3F" w:rsidR="007605E6" w:rsidRPr="00382A62" w:rsidRDefault="007605E6" w:rsidP="007605E6">
      <w:pPr>
        <w:rPr>
          <w:rFonts w:cs="Arial"/>
          <w:szCs w:val="20"/>
        </w:rPr>
      </w:pPr>
      <w:r w:rsidRPr="00382A62">
        <w:rPr>
          <w:rFonts w:cs="Arial"/>
          <w:szCs w:val="20"/>
        </w:rPr>
        <w:t>En noviembre de 2000, la Bolsa Nacional de Valores S.A. creó el sistema de inmovilización y negociación electrónica de acciones. El mismo permite la negociación de acciones por medio de traspasos electrónicos de una cuenta a otra mediante la representación de la emisión accionaria por medio de anotación electrónica en cuenta, y es administrado por Interclear Central de Valores, S.A.</w:t>
      </w:r>
    </w:p>
    <w:p w14:paraId="32835DD5" w14:textId="77777777" w:rsidR="007605E6" w:rsidRPr="00382A62" w:rsidRDefault="007605E6" w:rsidP="007605E6">
      <w:pPr>
        <w:rPr>
          <w:rFonts w:cs="Arial"/>
          <w:szCs w:val="20"/>
        </w:rPr>
      </w:pPr>
      <w:r w:rsidRPr="00382A62">
        <w:rPr>
          <w:rFonts w:cs="Arial"/>
          <w:szCs w:val="20"/>
        </w:rPr>
        <w:t>Este sistema se creó con la intención de facilitar la operativa tanto para el emisor como para el inversionista, disminuyendo los riesgos de la circulación del papel. En virtud de lo anterior, la Bolsa Nacional de Valores ha gestionado con los emisores el abandono de los títulos físicos, a favor de los electrónicos, con la finalidad de:</w:t>
      </w:r>
    </w:p>
    <w:p w14:paraId="74B395EF" w14:textId="77777777" w:rsidR="007605E6" w:rsidRPr="00382A62" w:rsidRDefault="007605E6" w:rsidP="007605E6">
      <w:pPr>
        <w:pStyle w:val="Prrafodelista"/>
        <w:numPr>
          <w:ilvl w:val="0"/>
          <w:numId w:val="7"/>
        </w:numPr>
        <w:rPr>
          <w:rFonts w:cs="Arial"/>
          <w:szCs w:val="20"/>
        </w:rPr>
      </w:pPr>
      <w:r w:rsidRPr="00382A62">
        <w:rPr>
          <w:rFonts w:cs="Arial"/>
          <w:szCs w:val="20"/>
        </w:rPr>
        <w:t xml:space="preserve">Eliminar logística de traspaso de títulos </w:t>
      </w:r>
    </w:p>
    <w:p w14:paraId="288BDEB2" w14:textId="77777777" w:rsidR="007605E6" w:rsidRPr="00382A62" w:rsidRDefault="007605E6" w:rsidP="007605E6">
      <w:pPr>
        <w:pStyle w:val="Prrafodelista"/>
        <w:numPr>
          <w:ilvl w:val="0"/>
          <w:numId w:val="7"/>
        </w:numPr>
        <w:rPr>
          <w:rFonts w:cs="Arial"/>
          <w:szCs w:val="20"/>
        </w:rPr>
      </w:pPr>
      <w:r w:rsidRPr="00382A62">
        <w:rPr>
          <w:rFonts w:cs="Arial"/>
          <w:szCs w:val="20"/>
        </w:rPr>
        <w:t>Eliminar problemas de seguridad (extravío, “gemeleo”)</w:t>
      </w:r>
    </w:p>
    <w:p w14:paraId="18EB29A9" w14:textId="14C5FEFD" w:rsidR="007605E6" w:rsidRPr="00382A62" w:rsidRDefault="007605E6" w:rsidP="007605E6">
      <w:pPr>
        <w:pStyle w:val="Prrafodelista"/>
        <w:numPr>
          <w:ilvl w:val="0"/>
          <w:numId w:val="7"/>
        </w:numPr>
        <w:rPr>
          <w:rFonts w:cs="Arial"/>
          <w:szCs w:val="20"/>
        </w:rPr>
      </w:pPr>
      <w:r w:rsidRPr="00382A62">
        <w:rPr>
          <w:rFonts w:cs="Arial"/>
          <w:szCs w:val="20"/>
        </w:rPr>
        <w:t xml:space="preserve">Permitir el manejo electrónico del Libro de Accionistas </w:t>
      </w:r>
      <w:r w:rsidR="00E578CE" w:rsidRPr="00382A62">
        <w:rPr>
          <w:rFonts w:cs="Arial"/>
          <w:szCs w:val="20"/>
        </w:rPr>
        <w:t>(</w:t>
      </w:r>
      <w:r w:rsidR="00E249C0" w:rsidRPr="00382A62">
        <w:rPr>
          <w:rFonts w:cs="Arial"/>
          <w:szCs w:val="20"/>
        </w:rPr>
        <w:t>sujeto a aclaraciones respecto a lo indicado en el Código de Comercio)</w:t>
      </w:r>
    </w:p>
    <w:p w14:paraId="10A9E774" w14:textId="77777777" w:rsidR="007605E6" w:rsidRPr="00382A62" w:rsidRDefault="007605E6" w:rsidP="007605E6">
      <w:pPr>
        <w:rPr>
          <w:rFonts w:cs="Arial"/>
          <w:szCs w:val="20"/>
        </w:rPr>
      </w:pPr>
      <w:r w:rsidRPr="00382A62">
        <w:rPr>
          <w:rFonts w:cs="Arial"/>
          <w:szCs w:val="20"/>
        </w:rPr>
        <w:t xml:space="preserve">FIFCO, reconociendo las ventajas de un mercado accionario desmaterializado, ha apoyado los esfuerzos del sector en este sentido. Consecuentemente, en Asamblea Ordinaria de Accionistas celebrada el 15 de diciembre de 2001, </w:t>
      </w:r>
      <w:r w:rsidRPr="00382A62">
        <w:rPr>
          <w:rFonts w:cs="Arial"/>
          <w:szCs w:val="20"/>
        </w:rPr>
        <w:lastRenderedPageBreak/>
        <w:t>se aprobó la modificación a las cláusulas relacionadas con el capital social y afines, en línea con la desmaterialización de las acciones.</w:t>
      </w:r>
    </w:p>
    <w:p w14:paraId="61210350" w14:textId="77777777" w:rsidR="007605E6" w:rsidRPr="00382A62" w:rsidRDefault="007605E6" w:rsidP="007605E6">
      <w:pPr>
        <w:rPr>
          <w:rFonts w:cs="Arial"/>
          <w:szCs w:val="20"/>
        </w:rPr>
      </w:pPr>
      <w:r w:rsidRPr="00382A62">
        <w:rPr>
          <w:rFonts w:cs="Arial"/>
          <w:szCs w:val="20"/>
        </w:rPr>
        <w:t xml:space="preserve">Por ello, las acciones desmaterializadas son depositadas en cuentas individualizadas en Interclear Central de Valores, S.A. Estas cuentas son abiertas por las entidades de custodia a nombre de cada titular. </w:t>
      </w:r>
    </w:p>
    <w:p w14:paraId="4A88FA6A" w14:textId="77777777" w:rsidR="007605E6" w:rsidRPr="00382A62" w:rsidRDefault="007605E6" w:rsidP="007605E6">
      <w:pPr>
        <w:rPr>
          <w:rFonts w:cs="Arial"/>
          <w:szCs w:val="20"/>
        </w:rPr>
      </w:pPr>
      <w:r w:rsidRPr="00382A62">
        <w:rPr>
          <w:rFonts w:cs="Arial"/>
          <w:szCs w:val="20"/>
        </w:rPr>
        <w:t>Los accionistas cuentan con la opción de mantener sus acciones en formato físico; sin embargo, debe aclararse que el título físico mantiene su valor, pero pierde bursatilidad, dado que, para efectuar transacciones en Bolsa, las acciones físicas deben presentarse ante el emisor para ser desmaterializadas.</w:t>
      </w:r>
    </w:p>
    <w:p w14:paraId="03FB92FF" w14:textId="77777777" w:rsidR="007605E6" w:rsidRPr="00382A62" w:rsidRDefault="007605E6" w:rsidP="007605E6">
      <w:pPr>
        <w:rPr>
          <w:rFonts w:cs="Arial"/>
          <w:szCs w:val="20"/>
        </w:rPr>
      </w:pPr>
      <w:r w:rsidRPr="00382A62">
        <w:rPr>
          <w:rFonts w:cs="Arial"/>
          <w:szCs w:val="20"/>
        </w:rPr>
        <w:t>Todos los movimientos que afecten a los valores deberán inscribirse en el registro de Interclear Central de Valores, S.A. para que afecten a terceros. Estos movimientos serán practicados por la entidad de custodia, lo cual podría implicar cargos por el servicio de inscripción. Estas inscripciones son las que tomará en cuenta el emisor, o sea FIFCO, para efectos de la actualización del registro de socios.</w:t>
      </w:r>
    </w:p>
    <w:p w14:paraId="25042E04" w14:textId="3233F3BA" w:rsidR="00FC6873" w:rsidRDefault="00BB383A" w:rsidP="00FC6873">
      <w:pPr>
        <w:rPr>
          <w:rFonts w:asciiTheme="minorHAnsi" w:hAnsiTheme="minorHAnsi"/>
        </w:rPr>
      </w:pPr>
      <w:r w:rsidRPr="00382A62">
        <w:rPr>
          <w:rFonts w:cs="Arial"/>
          <w:szCs w:val="20"/>
        </w:rPr>
        <w:t xml:space="preserve">El Consejo Nacional de Supervisión del Sistema Financiero (Conassif) </w:t>
      </w:r>
      <w:r w:rsidR="00B0034E" w:rsidRPr="00382A62">
        <w:rPr>
          <w:rFonts w:cs="Arial"/>
          <w:szCs w:val="20"/>
        </w:rPr>
        <w:t>modificó el Reglamento sobre Oferta Pública de Valores indicando que todas las acciones que existen</w:t>
      </w:r>
      <w:r w:rsidR="00E27F6C" w:rsidRPr="00382A62">
        <w:rPr>
          <w:rFonts w:cs="Arial"/>
          <w:szCs w:val="20"/>
        </w:rPr>
        <w:t xml:space="preserve"> aún</w:t>
      </w:r>
      <w:r w:rsidR="00B0034E" w:rsidRPr="00382A62">
        <w:rPr>
          <w:rFonts w:cs="Arial"/>
          <w:szCs w:val="20"/>
        </w:rPr>
        <w:t xml:space="preserve"> en</w:t>
      </w:r>
      <w:r w:rsidR="00E27F6C" w:rsidRPr="00382A62">
        <w:rPr>
          <w:rFonts w:cs="Arial"/>
          <w:szCs w:val="20"/>
        </w:rPr>
        <w:t xml:space="preserve"> </w:t>
      </w:r>
      <w:r w:rsidR="00B734C4" w:rsidRPr="00382A62">
        <w:rPr>
          <w:rFonts w:cs="Arial"/>
          <w:szCs w:val="20"/>
        </w:rPr>
        <w:t xml:space="preserve">soporte </w:t>
      </w:r>
      <w:r w:rsidR="00E27F6C" w:rsidRPr="00382A62">
        <w:rPr>
          <w:rFonts w:cs="Arial"/>
          <w:szCs w:val="20"/>
        </w:rPr>
        <w:t xml:space="preserve">físico deben pasar por el proceso de desmaterialización y convertirse en anotaciones electrónicas.  Para esto el </w:t>
      </w:r>
      <w:r w:rsidR="00B50291">
        <w:rPr>
          <w:rFonts w:cs="Arial"/>
          <w:szCs w:val="20"/>
        </w:rPr>
        <w:t>R</w:t>
      </w:r>
      <w:r w:rsidR="00E27F6C" w:rsidRPr="00382A62">
        <w:rPr>
          <w:rFonts w:cs="Arial"/>
          <w:szCs w:val="20"/>
        </w:rPr>
        <w:t xml:space="preserve">eglamento indica </w:t>
      </w:r>
      <w:r w:rsidR="00B50291">
        <w:rPr>
          <w:rFonts w:cs="Arial"/>
          <w:szCs w:val="20"/>
        </w:rPr>
        <w:t xml:space="preserve">en </w:t>
      </w:r>
      <w:r w:rsidR="00E27F6C" w:rsidRPr="00382A62">
        <w:rPr>
          <w:rFonts w:cs="Arial"/>
          <w:szCs w:val="20"/>
        </w:rPr>
        <w:t xml:space="preserve">su </w:t>
      </w:r>
      <w:r w:rsidR="00270405" w:rsidRPr="00382A62">
        <w:rPr>
          <w:rFonts w:cs="Arial"/>
          <w:szCs w:val="20"/>
        </w:rPr>
        <w:t>transitorio K un plazo para realizar este proceso cuyo vencimiento original estaba para el mes de abril 2023.  Sin embargo</w:t>
      </w:r>
      <w:r w:rsidR="00132317" w:rsidRPr="00382A62">
        <w:rPr>
          <w:rFonts w:cs="Arial"/>
          <w:szCs w:val="20"/>
        </w:rPr>
        <w:t>,</w:t>
      </w:r>
      <w:r w:rsidR="00270405" w:rsidRPr="00382A62">
        <w:rPr>
          <w:rFonts w:cs="Arial"/>
          <w:szCs w:val="20"/>
        </w:rPr>
        <w:t xml:space="preserve"> mediante acuerdo CNS-1792/08</w:t>
      </w:r>
      <w:r w:rsidR="00CC3942" w:rsidRPr="00382A62">
        <w:rPr>
          <w:rFonts w:cs="Arial"/>
          <w:szCs w:val="20"/>
        </w:rPr>
        <w:t xml:space="preserve"> del Conassif del 27 de marzo del 2023 se est</w:t>
      </w:r>
      <w:r w:rsidR="00132317" w:rsidRPr="00382A62">
        <w:rPr>
          <w:rFonts w:cs="Arial"/>
          <w:szCs w:val="20"/>
        </w:rPr>
        <w:t>ableció el 31 de mayo del 2024, como plazo para completar la ejecución del proceso de desmaterialización de las acciones que aún se mantienen en soporte físico.</w:t>
      </w:r>
      <w:r w:rsidR="00B50291">
        <w:rPr>
          <w:rFonts w:cs="Arial"/>
          <w:szCs w:val="20"/>
        </w:rPr>
        <w:t xml:space="preserve"> No obstante lo anterior, </w:t>
      </w:r>
      <w:r w:rsidR="00FC6873">
        <w:rPr>
          <w:rFonts w:cs="Arial"/>
          <w:szCs w:val="20"/>
        </w:rPr>
        <w:t>e</w:t>
      </w:r>
      <w:r w:rsidR="00FC6873">
        <w:t xml:space="preserve">l 28 de julio del 2023 la Superintendencia General de Valores (SUGEVAL) envió un Hecho Relevante indicando que la Sala Constitucional de la Corte Suprema de Justicia dio curso a una acción de inconstitucionalidad interpuesta en contra del Transitorio VIII de la Ley Reguladora del Mercado de Valores, el Transitorio K) Reglamento de Oferta Pública de Valores y el artículo 4 del Reglamento de Custodia. </w:t>
      </w:r>
    </w:p>
    <w:p w14:paraId="60CA3B5E" w14:textId="249F94C5" w:rsidR="00C21625" w:rsidRPr="00382A62" w:rsidRDefault="00FC6873" w:rsidP="00FC6873">
      <w:pPr>
        <w:rPr>
          <w:rFonts w:cs="Arial"/>
          <w:szCs w:val="20"/>
        </w:rPr>
      </w:pPr>
      <w:r>
        <w:t xml:space="preserve">Por lo tanto, SUGEVAL comunicó la </w:t>
      </w:r>
      <w:r>
        <w:rPr>
          <w:u w:val="single"/>
        </w:rPr>
        <w:t>suspensión temporal de la disposición que solicita ejecutar la desmaterialización total</w:t>
      </w:r>
      <w:r>
        <w:t xml:space="preserve"> de las acciones físicas, </w:t>
      </w:r>
      <w:r>
        <w:rPr>
          <w:u w:val="single"/>
        </w:rPr>
        <w:t>hasta la firmeza de la decisión de la Sala Constitucional que resuelva la acción de inconstitucionalidad</w:t>
      </w:r>
      <w:r>
        <w:t xml:space="preserve"> reseñada. También aclaró que aquellos inversionistas que deseen continuar con la desmaterialización de sus valores pueden voluntariamente aplicar los procesos habituales ya disponibles.</w:t>
      </w:r>
    </w:p>
    <w:p w14:paraId="6542F5FC" w14:textId="77777777" w:rsidR="007605E6" w:rsidRPr="00382A62" w:rsidRDefault="007605E6" w:rsidP="00147CF2">
      <w:pPr>
        <w:pStyle w:val="Prrafodelista"/>
        <w:numPr>
          <w:ilvl w:val="0"/>
          <w:numId w:val="32"/>
        </w:numPr>
        <w:rPr>
          <w:rFonts w:cs="Arial"/>
          <w:b/>
          <w:bCs/>
          <w:szCs w:val="20"/>
        </w:rPr>
      </w:pPr>
      <w:r w:rsidRPr="00382A62">
        <w:rPr>
          <w:rFonts w:cs="Arial"/>
          <w:b/>
          <w:bCs/>
          <w:szCs w:val="20"/>
        </w:rPr>
        <w:t>Programa de Recompra de Acciones</w:t>
      </w:r>
    </w:p>
    <w:p w14:paraId="54E3AAF9" w14:textId="77777777" w:rsidR="007605E6" w:rsidRDefault="007605E6" w:rsidP="007605E6">
      <w:pPr>
        <w:rPr>
          <w:rFonts w:cs="Arial"/>
          <w:szCs w:val="20"/>
        </w:rPr>
      </w:pPr>
      <w:r w:rsidRPr="00382A62">
        <w:rPr>
          <w:rFonts w:cs="Arial"/>
          <w:szCs w:val="20"/>
        </w:rPr>
        <w:t>Actualmente FIFCO realiza recompra de acciones mediante dos mecanismos: Programa de Recompras y Subasta Inversa, por medio de los cuales la Compañía compra acciones que circulan en el mercado y las conserva en Tesorería, esto con el objetivo de brindar liquidez al accionista. Las recompras cumplen con la normativa que dicta SUGEVAL y se comunica mediante Hecho Relevante según corresponda.</w:t>
      </w:r>
    </w:p>
    <w:p w14:paraId="3D22F7E9" w14:textId="551FECFC" w:rsidR="007605E6" w:rsidRPr="00382A62" w:rsidRDefault="007605E6" w:rsidP="007605E6">
      <w:pPr>
        <w:pStyle w:val="Descripcin"/>
        <w:rPr>
          <w:rFonts w:cs="Arial"/>
          <w:szCs w:val="20"/>
        </w:rPr>
      </w:pPr>
      <w:bookmarkStart w:id="35" w:name="_Toc169624700"/>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4</w:t>
      </w:r>
      <w:r w:rsidR="00423C23" w:rsidRPr="00382A62">
        <w:rPr>
          <w:rFonts w:cs="Arial"/>
          <w:noProof/>
          <w:szCs w:val="20"/>
        </w:rPr>
        <w:fldChar w:fldCharType="end"/>
      </w:r>
      <w:r w:rsidRPr="00382A62">
        <w:rPr>
          <w:rFonts w:cs="Arial"/>
          <w:szCs w:val="20"/>
        </w:rPr>
        <w:t xml:space="preserve"> - Mecanismos de Recompra de Acciones</w:t>
      </w:r>
      <w:bookmarkEnd w:id="35"/>
    </w:p>
    <w:tbl>
      <w:tblPr>
        <w:tblW w:w="1048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405"/>
        <w:gridCol w:w="1843"/>
        <w:gridCol w:w="2268"/>
        <w:gridCol w:w="1984"/>
        <w:gridCol w:w="1984"/>
      </w:tblGrid>
      <w:tr w:rsidR="00B36481" w:rsidRPr="00382A62" w14:paraId="69CC3E70" w14:textId="21608F89" w:rsidTr="00B36481">
        <w:trPr>
          <w:trHeight w:val="697"/>
        </w:trPr>
        <w:tc>
          <w:tcPr>
            <w:tcW w:w="2405" w:type="dxa"/>
            <w:shd w:val="clear" w:color="auto" w:fill="F2F2F2" w:themeFill="background1" w:themeFillShade="F2"/>
            <w:noWrap/>
            <w:vAlign w:val="center"/>
          </w:tcPr>
          <w:p w14:paraId="018D7D3D" w14:textId="77777777" w:rsidR="00B36481" w:rsidRPr="00382A62" w:rsidRDefault="00B36481" w:rsidP="00247B6A">
            <w:pPr>
              <w:spacing w:line="276" w:lineRule="auto"/>
              <w:contextualSpacing/>
              <w:jc w:val="left"/>
              <w:rPr>
                <w:rFonts w:cs="Arial"/>
                <w:b/>
                <w:bCs/>
                <w:szCs w:val="20"/>
              </w:rPr>
            </w:pPr>
            <w:r w:rsidRPr="00382A62">
              <w:rPr>
                <w:rFonts w:cs="Arial"/>
                <w:b/>
                <w:bCs/>
                <w:szCs w:val="20"/>
              </w:rPr>
              <w:lastRenderedPageBreak/>
              <w:t>Mecanismo de recompra:</w:t>
            </w:r>
          </w:p>
        </w:tc>
        <w:tc>
          <w:tcPr>
            <w:tcW w:w="1843" w:type="dxa"/>
            <w:shd w:val="clear" w:color="auto" w:fill="FFFFFF" w:themeFill="background1"/>
            <w:noWrap/>
            <w:vAlign w:val="center"/>
          </w:tcPr>
          <w:p w14:paraId="2C0A4D9A" w14:textId="77777777" w:rsidR="00B36481" w:rsidRPr="00382A62" w:rsidRDefault="00B36481" w:rsidP="00247B6A">
            <w:pPr>
              <w:spacing w:line="276" w:lineRule="auto"/>
              <w:contextualSpacing/>
              <w:jc w:val="center"/>
              <w:rPr>
                <w:rFonts w:cs="Arial"/>
                <w:b/>
                <w:szCs w:val="20"/>
              </w:rPr>
            </w:pPr>
            <w:r w:rsidRPr="00382A62">
              <w:rPr>
                <w:rFonts w:cs="Arial"/>
                <w:b/>
                <w:szCs w:val="20"/>
              </w:rPr>
              <w:t>Subasta Inversa</w:t>
            </w:r>
          </w:p>
        </w:tc>
        <w:tc>
          <w:tcPr>
            <w:tcW w:w="2268" w:type="dxa"/>
            <w:shd w:val="clear" w:color="auto" w:fill="FFFFFF" w:themeFill="background1"/>
            <w:vAlign w:val="center"/>
          </w:tcPr>
          <w:p w14:paraId="224FC884" w14:textId="77777777" w:rsidR="00B36481" w:rsidRPr="00382A62" w:rsidRDefault="00B36481" w:rsidP="00247B6A">
            <w:pPr>
              <w:spacing w:line="276" w:lineRule="auto"/>
              <w:contextualSpacing/>
              <w:jc w:val="center"/>
              <w:rPr>
                <w:rFonts w:cs="Arial"/>
                <w:b/>
                <w:szCs w:val="20"/>
              </w:rPr>
            </w:pPr>
            <w:r w:rsidRPr="00382A62">
              <w:rPr>
                <w:rFonts w:cs="Arial"/>
                <w:b/>
                <w:szCs w:val="20"/>
              </w:rPr>
              <w:t>Programa de Recompra</w:t>
            </w:r>
          </w:p>
        </w:tc>
        <w:tc>
          <w:tcPr>
            <w:tcW w:w="1984" w:type="dxa"/>
            <w:shd w:val="clear" w:color="auto" w:fill="FFFFFF" w:themeFill="background1"/>
            <w:vAlign w:val="center"/>
          </w:tcPr>
          <w:p w14:paraId="633C6180" w14:textId="77777777" w:rsidR="00B36481" w:rsidRDefault="00B36481" w:rsidP="00247B6A">
            <w:pPr>
              <w:spacing w:line="276" w:lineRule="auto"/>
              <w:contextualSpacing/>
              <w:jc w:val="center"/>
              <w:rPr>
                <w:rFonts w:cs="Arial"/>
                <w:b/>
                <w:szCs w:val="20"/>
              </w:rPr>
            </w:pPr>
            <w:r w:rsidRPr="00382A62">
              <w:rPr>
                <w:rFonts w:cs="Arial"/>
                <w:b/>
                <w:szCs w:val="20"/>
              </w:rPr>
              <w:t>Subasta Inversa</w:t>
            </w:r>
          </w:p>
          <w:p w14:paraId="25576CFE" w14:textId="07A4563D" w:rsidR="009E227D" w:rsidRPr="00382A62" w:rsidRDefault="009E227D" w:rsidP="00247B6A">
            <w:pPr>
              <w:spacing w:line="276" w:lineRule="auto"/>
              <w:contextualSpacing/>
              <w:jc w:val="center"/>
              <w:rPr>
                <w:rFonts w:cs="Arial"/>
                <w:b/>
                <w:szCs w:val="20"/>
              </w:rPr>
            </w:pPr>
            <w:r>
              <w:rPr>
                <w:rFonts w:cs="Arial"/>
                <w:b/>
                <w:szCs w:val="20"/>
              </w:rPr>
              <w:t>(2)</w:t>
            </w:r>
          </w:p>
        </w:tc>
        <w:tc>
          <w:tcPr>
            <w:tcW w:w="1984" w:type="dxa"/>
            <w:shd w:val="clear" w:color="auto" w:fill="FFFFFF" w:themeFill="background1"/>
            <w:vAlign w:val="center"/>
          </w:tcPr>
          <w:p w14:paraId="2EBA51EC" w14:textId="77777777" w:rsidR="00B36481" w:rsidRDefault="00B36481" w:rsidP="00247B6A">
            <w:pPr>
              <w:spacing w:line="276" w:lineRule="auto"/>
              <w:contextualSpacing/>
              <w:jc w:val="center"/>
              <w:rPr>
                <w:rFonts w:cs="Arial"/>
                <w:b/>
                <w:szCs w:val="20"/>
              </w:rPr>
            </w:pPr>
            <w:r w:rsidRPr="00382A62">
              <w:rPr>
                <w:rFonts w:cs="Arial"/>
                <w:b/>
                <w:szCs w:val="20"/>
              </w:rPr>
              <w:t>Programa de Recompra</w:t>
            </w:r>
          </w:p>
          <w:p w14:paraId="25FD1BA0" w14:textId="16F269A0" w:rsidR="009E227D" w:rsidRPr="00382A62" w:rsidRDefault="009E227D" w:rsidP="00247B6A">
            <w:pPr>
              <w:spacing w:line="276" w:lineRule="auto"/>
              <w:contextualSpacing/>
              <w:jc w:val="center"/>
              <w:rPr>
                <w:rFonts w:cs="Arial"/>
                <w:b/>
                <w:szCs w:val="20"/>
              </w:rPr>
            </w:pPr>
            <w:r>
              <w:rPr>
                <w:rFonts w:cs="Arial"/>
                <w:b/>
                <w:szCs w:val="20"/>
              </w:rPr>
              <w:t>(2)</w:t>
            </w:r>
          </w:p>
        </w:tc>
      </w:tr>
      <w:tr w:rsidR="00B36481" w:rsidRPr="00382A62" w14:paraId="23A0FB0C" w14:textId="2F5E33FA" w:rsidTr="00B36481">
        <w:trPr>
          <w:trHeight w:val="697"/>
        </w:trPr>
        <w:tc>
          <w:tcPr>
            <w:tcW w:w="2405" w:type="dxa"/>
            <w:shd w:val="clear" w:color="auto" w:fill="F2F2F2" w:themeFill="background1" w:themeFillShade="F2"/>
            <w:noWrap/>
            <w:vAlign w:val="center"/>
          </w:tcPr>
          <w:p w14:paraId="5B844602" w14:textId="77777777" w:rsidR="00B36481" w:rsidRPr="00382A62" w:rsidRDefault="00B36481" w:rsidP="00B36481">
            <w:pPr>
              <w:spacing w:line="276" w:lineRule="auto"/>
              <w:contextualSpacing/>
              <w:jc w:val="left"/>
              <w:rPr>
                <w:rFonts w:cs="Arial"/>
                <w:b/>
                <w:bCs/>
                <w:szCs w:val="20"/>
              </w:rPr>
            </w:pPr>
            <w:r w:rsidRPr="00382A62">
              <w:rPr>
                <w:rFonts w:cs="Arial"/>
                <w:b/>
                <w:bCs/>
                <w:szCs w:val="20"/>
              </w:rPr>
              <w:t>Fecha de aprobación:</w:t>
            </w:r>
          </w:p>
        </w:tc>
        <w:tc>
          <w:tcPr>
            <w:tcW w:w="1843" w:type="dxa"/>
            <w:shd w:val="clear" w:color="auto" w:fill="FFFFFF" w:themeFill="background1"/>
            <w:noWrap/>
            <w:vAlign w:val="center"/>
          </w:tcPr>
          <w:p w14:paraId="7C7EB1DC" w14:textId="77777777" w:rsidR="00B36481" w:rsidRPr="00382A62" w:rsidRDefault="00B36481" w:rsidP="00B36481">
            <w:pPr>
              <w:spacing w:line="276" w:lineRule="auto"/>
              <w:contextualSpacing/>
              <w:jc w:val="center"/>
              <w:rPr>
                <w:rFonts w:cs="Arial"/>
                <w:szCs w:val="20"/>
              </w:rPr>
            </w:pPr>
            <w:r w:rsidRPr="00382A62">
              <w:rPr>
                <w:rFonts w:cs="Arial"/>
                <w:szCs w:val="20"/>
              </w:rPr>
              <w:t>2 de noviembre del 2021</w:t>
            </w:r>
          </w:p>
        </w:tc>
        <w:tc>
          <w:tcPr>
            <w:tcW w:w="2268" w:type="dxa"/>
            <w:shd w:val="clear" w:color="auto" w:fill="FFFFFF" w:themeFill="background1"/>
            <w:vAlign w:val="center"/>
          </w:tcPr>
          <w:p w14:paraId="237A3DC9" w14:textId="77777777" w:rsidR="00B36481" w:rsidRPr="00382A62" w:rsidRDefault="00B36481" w:rsidP="00B36481">
            <w:pPr>
              <w:spacing w:line="276" w:lineRule="auto"/>
              <w:contextualSpacing/>
              <w:jc w:val="center"/>
              <w:rPr>
                <w:rFonts w:cs="Arial"/>
                <w:szCs w:val="20"/>
              </w:rPr>
            </w:pPr>
            <w:r w:rsidRPr="00382A62">
              <w:rPr>
                <w:rFonts w:cs="Arial"/>
                <w:szCs w:val="20"/>
              </w:rPr>
              <w:t>21 de diciembre del 2022</w:t>
            </w:r>
          </w:p>
        </w:tc>
        <w:tc>
          <w:tcPr>
            <w:tcW w:w="1984" w:type="dxa"/>
            <w:shd w:val="clear" w:color="auto" w:fill="FFFFFF" w:themeFill="background1"/>
            <w:vAlign w:val="center"/>
          </w:tcPr>
          <w:p w14:paraId="68832F95" w14:textId="6FE174D3" w:rsidR="00B36481" w:rsidRPr="00382A62" w:rsidRDefault="00B36481" w:rsidP="00B36481">
            <w:pPr>
              <w:spacing w:line="276" w:lineRule="auto"/>
              <w:contextualSpacing/>
              <w:jc w:val="center"/>
              <w:rPr>
                <w:rFonts w:cs="Arial"/>
                <w:szCs w:val="20"/>
              </w:rPr>
            </w:pPr>
            <w:r>
              <w:rPr>
                <w:rFonts w:cs="Arial"/>
                <w:szCs w:val="20"/>
              </w:rPr>
              <w:t>19</w:t>
            </w:r>
            <w:r w:rsidRPr="00382A62">
              <w:rPr>
                <w:rFonts w:cs="Arial"/>
                <w:szCs w:val="20"/>
              </w:rPr>
              <w:t xml:space="preserve"> de </w:t>
            </w:r>
            <w:r>
              <w:rPr>
                <w:rFonts w:cs="Arial"/>
                <w:szCs w:val="20"/>
              </w:rPr>
              <w:t>marzo</w:t>
            </w:r>
            <w:r w:rsidRPr="00382A62">
              <w:rPr>
                <w:rFonts w:cs="Arial"/>
                <w:szCs w:val="20"/>
              </w:rPr>
              <w:t xml:space="preserve"> del 202</w:t>
            </w:r>
            <w:r w:rsidR="009E227D">
              <w:rPr>
                <w:rFonts w:cs="Arial"/>
                <w:szCs w:val="20"/>
              </w:rPr>
              <w:t>4</w:t>
            </w:r>
          </w:p>
        </w:tc>
        <w:tc>
          <w:tcPr>
            <w:tcW w:w="1984" w:type="dxa"/>
            <w:shd w:val="clear" w:color="auto" w:fill="FFFFFF" w:themeFill="background1"/>
            <w:vAlign w:val="center"/>
          </w:tcPr>
          <w:p w14:paraId="0BC55CD8" w14:textId="703180B8" w:rsidR="00B36481" w:rsidRPr="00382A62" w:rsidRDefault="00B36481" w:rsidP="00B36481">
            <w:pPr>
              <w:spacing w:line="276" w:lineRule="auto"/>
              <w:contextualSpacing/>
              <w:jc w:val="center"/>
              <w:rPr>
                <w:rFonts w:cs="Arial"/>
                <w:szCs w:val="20"/>
              </w:rPr>
            </w:pPr>
            <w:r>
              <w:rPr>
                <w:rFonts w:cs="Arial"/>
                <w:szCs w:val="20"/>
              </w:rPr>
              <w:t>19</w:t>
            </w:r>
            <w:r w:rsidRPr="00382A62">
              <w:rPr>
                <w:rFonts w:cs="Arial"/>
                <w:szCs w:val="20"/>
              </w:rPr>
              <w:t xml:space="preserve"> de </w:t>
            </w:r>
            <w:r>
              <w:rPr>
                <w:rFonts w:cs="Arial"/>
                <w:szCs w:val="20"/>
              </w:rPr>
              <w:t>marzo</w:t>
            </w:r>
            <w:r w:rsidRPr="00382A62">
              <w:rPr>
                <w:rFonts w:cs="Arial"/>
                <w:szCs w:val="20"/>
              </w:rPr>
              <w:t xml:space="preserve"> del 202</w:t>
            </w:r>
            <w:r w:rsidR="009E227D">
              <w:rPr>
                <w:rFonts w:cs="Arial"/>
                <w:szCs w:val="20"/>
              </w:rPr>
              <w:t>4</w:t>
            </w:r>
          </w:p>
        </w:tc>
      </w:tr>
      <w:tr w:rsidR="00B36481" w:rsidRPr="00382A62" w14:paraId="6B8F8E09" w14:textId="146C2C0B" w:rsidTr="00B36481">
        <w:trPr>
          <w:trHeight w:val="697"/>
        </w:trPr>
        <w:tc>
          <w:tcPr>
            <w:tcW w:w="2405" w:type="dxa"/>
            <w:shd w:val="clear" w:color="auto" w:fill="F2F2F2" w:themeFill="background1" w:themeFillShade="F2"/>
            <w:noWrap/>
            <w:vAlign w:val="center"/>
          </w:tcPr>
          <w:p w14:paraId="71CBC995" w14:textId="77777777" w:rsidR="00B36481" w:rsidRPr="00382A62" w:rsidRDefault="00B36481" w:rsidP="00B36481">
            <w:pPr>
              <w:spacing w:line="276" w:lineRule="auto"/>
              <w:contextualSpacing/>
              <w:jc w:val="left"/>
              <w:rPr>
                <w:rFonts w:cs="Arial"/>
                <w:b/>
                <w:bCs/>
                <w:szCs w:val="20"/>
              </w:rPr>
            </w:pPr>
            <w:r w:rsidRPr="00382A62">
              <w:rPr>
                <w:rFonts w:cs="Arial"/>
                <w:b/>
                <w:bCs/>
                <w:szCs w:val="20"/>
              </w:rPr>
              <w:t>Monto aprobado:</w:t>
            </w:r>
          </w:p>
        </w:tc>
        <w:tc>
          <w:tcPr>
            <w:tcW w:w="1843" w:type="dxa"/>
            <w:shd w:val="clear" w:color="auto" w:fill="FFFFFF" w:themeFill="background1"/>
            <w:noWrap/>
            <w:vAlign w:val="center"/>
          </w:tcPr>
          <w:p w14:paraId="32014B3F" w14:textId="77777777" w:rsidR="00B36481" w:rsidRPr="00382A62" w:rsidRDefault="00B36481" w:rsidP="00B36481">
            <w:pPr>
              <w:spacing w:line="276" w:lineRule="auto"/>
              <w:contextualSpacing/>
              <w:jc w:val="center"/>
              <w:rPr>
                <w:rFonts w:cs="Arial"/>
                <w:szCs w:val="20"/>
              </w:rPr>
            </w:pPr>
            <w:r w:rsidRPr="00382A62">
              <w:rPr>
                <w:rFonts w:cs="Arial"/>
                <w:szCs w:val="20"/>
              </w:rPr>
              <w:t>US$20.000.000,00</w:t>
            </w:r>
          </w:p>
        </w:tc>
        <w:tc>
          <w:tcPr>
            <w:tcW w:w="2268" w:type="dxa"/>
            <w:shd w:val="clear" w:color="auto" w:fill="FFFFFF" w:themeFill="background1"/>
            <w:vAlign w:val="center"/>
          </w:tcPr>
          <w:p w14:paraId="76B07BF0" w14:textId="77777777" w:rsidR="00B36481" w:rsidRPr="00382A62" w:rsidRDefault="00B36481" w:rsidP="00B36481">
            <w:pPr>
              <w:spacing w:line="276" w:lineRule="auto"/>
              <w:contextualSpacing/>
              <w:jc w:val="center"/>
              <w:rPr>
                <w:rFonts w:cs="Arial"/>
                <w:szCs w:val="20"/>
              </w:rPr>
            </w:pPr>
            <w:r w:rsidRPr="00382A62">
              <w:rPr>
                <w:rFonts w:cs="Arial"/>
                <w:szCs w:val="20"/>
              </w:rPr>
              <w:t>US$40.000.000,00</w:t>
            </w:r>
          </w:p>
        </w:tc>
        <w:tc>
          <w:tcPr>
            <w:tcW w:w="1984" w:type="dxa"/>
            <w:shd w:val="clear" w:color="auto" w:fill="FFFFFF" w:themeFill="background1"/>
            <w:vAlign w:val="center"/>
          </w:tcPr>
          <w:p w14:paraId="163B1670" w14:textId="43A80C22" w:rsidR="00B36481" w:rsidRPr="00382A62" w:rsidRDefault="00B36481" w:rsidP="00B36481">
            <w:pPr>
              <w:spacing w:line="276" w:lineRule="auto"/>
              <w:contextualSpacing/>
              <w:jc w:val="center"/>
              <w:rPr>
                <w:rFonts w:cs="Arial"/>
                <w:szCs w:val="20"/>
              </w:rPr>
            </w:pPr>
            <w:r w:rsidRPr="00382A62">
              <w:rPr>
                <w:rFonts w:cs="Arial"/>
                <w:szCs w:val="20"/>
              </w:rPr>
              <w:t>US$</w:t>
            </w:r>
            <w:r>
              <w:rPr>
                <w:rFonts w:cs="Arial"/>
                <w:szCs w:val="20"/>
              </w:rPr>
              <w:t>4</w:t>
            </w:r>
            <w:r w:rsidRPr="00382A62">
              <w:rPr>
                <w:rFonts w:cs="Arial"/>
                <w:szCs w:val="20"/>
              </w:rPr>
              <w:t>0.000.000,00</w:t>
            </w:r>
          </w:p>
        </w:tc>
        <w:tc>
          <w:tcPr>
            <w:tcW w:w="1984" w:type="dxa"/>
            <w:shd w:val="clear" w:color="auto" w:fill="FFFFFF" w:themeFill="background1"/>
            <w:vAlign w:val="center"/>
          </w:tcPr>
          <w:p w14:paraId="73D873CB" w14:textId="01E2EDAB" w:rsidR="00B36481" w:rsidRPr="00382A62" w:rsidRDefault="00B36481" w:rsidP="00B36481">
            <w:pPr>
              <w:spacing w:line="276" w:lineRule="auto"/>
              <w:contextualSpacing/>
              <w:jc w:val="center"/>
              <w:rPr>
                <w:rFonts w:cs="Arial"/>
                <w:szCs w:val="20"/>
              </w:rPr>
            </w:pPr>
            <w:r w:rsidRPr="00382A62">
              <w:rPr>
                <w:rFonts w:cs="Arial"/>
                <w:szCs w:val="20"/>
              </w:rPr>
              <w:t>US$40.000.000,00</w:t>
            </w:r>
          </w:p>
        </w:tc>
      </w:tr>
      <w:tr w:rsidR="00B36481" w:rsidRPr="00382A62" w14:paraId="25BDE1A9" w14:textId="6A37A2CC" w:rsidTr="00B36481">
        <w:trPr>
          <w:trHeight w:val="697"/>
        </w:trPr>
        <w:tc>
          <w:tcPr>
            <w:tcW w:w="2405" w:type="dxa"/>
            <w:shd w:val="clear" w:color="auto" w:fill="F2F2F2" w:themeFill="background1" w:themeFillShade="F2"/>
            <w:noWrap/>
            <w:vAlign w:val="center"/>
          </w:tcPr>
          <w:p w14:paraId="7D48E62D" w14:textId="77777777" w:rsidR="00B36481" w:rsidRPr="00382A62" w:rsidRDefault="00B36481" w:rsidP="00B36481">
            <w:pPr>
              <w:spacing w:line="276" w:lineRule="auto"/>
              <w:contextualSpacing/>
              <w:jc w:val="left"/>
              <w:rPr>
                <w:rFonts w:cs="Arial"/>
                <w:b/>
                <w:bCs/>
                <w:szCs w:val="20"/>
              </w:rPr>
            </w:pPr>
            <w:r w:rsidRPr="00382A62">
              <w:rPr>
                <w:rFonts w:cs="Arial"/>
                <w:b/>
                <w:bCs/>
                <w:szCs w:val="20"/>
              </w:rPr>
              <w:t>Plazo:</w:t>
            </w:r>
          </w:p>
        </w:tc>
        <w:tc>
          <w:tcPr>
            <w:tcW w:w="1843" w:type="dxa"/>
            <w:shd w:val="clear" w:color="auto" w:fill="FFFFFF" w:themeFill="background1"/>
            <w:noWrap/>
            <w:vAlign w:val="center"/>
          </w:tcPr>
          <w:p w14:paraId="70B356BD" w14:textId="77777777" w:rsidR="00B36481" w:rsidRPr="00382A62" w:rsidRDefault="00B36481" w:rsidP="00B36481">
            <w:pPr>
              <w:spacing w:line="276" w:lineRule="auto"/>
              <w:contextualSpacing/>
              <w:jc w:val="center"/>
              <w:rPr>
                <w:rFonts w:cs="Arial"/>
                <w:szCs w:val="20"/>
              </w:rPr>
            </w:pPr>
            <w:r w:rsidRPr="00382A62">
              <w:rPr>
                <w:rFonts w:cs="Arial"/>
                <w:szCs w:val="20"/>
              </w:rPr>
              <w:t>36 meses a partir de la aprobación</w:t>
            </w:r>
          </w:p>
        </w:tc>
        <w:tc>
          <w:tcPr>
            <w:tcW w:w="2268" w:type="dxa"/>
            <w:shd w:val="clear" w:color="auto" w:fill="FFFFFF" w:themeFill="background1"/>
            <w:vAlign w:val="center"/>
          </w:tcPr>
          <w:p w14:paraId="2B137D62" w14:textId="77777777" w:rsidR="00B36481" w:rsidRPr="00382A62" w:rsidRDefault="00B36481" w:rsidP="00B36481">
            <w:pPr>
              <w:spacing w:line="276" w:lineRule="auto"/>
              <w:contextualSpacing/>
              <w:jc w:val="center"/>
              <w:rPr>
                <w:rFonts w:cs="Arial"/>
                <w:szCs w:val="20"/>
              </w:rPr>
            </w:pPr>
            <w:r w:rsidRPr="00382A62">
              <w:rPr>
                <w:rFonts w:cs="Arial"/>
                <w:szCs w:val="20"/>
              </w:rPr>
              <w:t>36 meses a partir de la aprobación</w:t>
            </w:r>
          </w:p>
        </w:tc>
        <w:tc>
          <w:tcPr>
            <w:tcW w:w="1984" w:type="dxa"/>
            <w:shd w:val="clear" w:color="auto" w:fill="FFFFFF" w:themeFill="background1"/>
            <w:vAlign w:val="center"/>
          </w:tcPr>
          <w:p w14:paraId="5255D883" w14:textId="0EA77F46" w:rsidR="00B36481" w:rsidRPr="00382A62" w:rsidRDefault="00D50582" w:rsidP="00B36481">
            <w:pPr>
              <w:spacing w:line="276" w:lineRule="auto"/>
              <w:contextualSpacing/>
              <w:jc w:val="center"/>
              <w:rPr>
                <w:rFonts w:cs="Arial"/>
                <w:szCs w:val="20"/>
              </w:rPr>
            </w:pPr>
            <w:r>
              <w:rPr>
                <w:rFonts w:cs="Arial"/>
                <w:szCs w:val="20"/>
              </w:rPr>
              <w:t>No aplica</w:t>
            </w:r>
          </w:p>
        </w:tc>
        <w:tc>
          <w:tcPr>
            <w:tcW w:w="1984" w:type="dxa"/>
            <w:shd w:val="clear" w:color="auto" w:fill="FFFFFF" w:themeFill="background1"/>
            <w:vAlign w:val="center"/>
          </w:tcPr>
          <w:p w14:paraId="02C0EA14" w14:textId="77777777" w:rsidR="00BC3F50" w:rsidRDefault="00BC3F50" w:rsidP="00B36481">
            <w:pPr>
              <w:spacing w:line="276" w:lineRule="auto"/>
              <w:contextualSpacing/>
              <w:jc w:val="center"/>
              <w:rPr>
                <w:rFonts w:cs="Arial"/>
                <w:szCs w:val="20"/>
              </w:rPr>
            </w:pPr>
          </w:p>
          <w:p w14:paraId="425FFF0B" w14:textId="4ACA59AD" w:rsidR="00B36481" w:rsidRPr="00382A62" w:rsidRDefault="00BC3F50" w:rsidP="00B36481">
            <w:pPr>
              <w:spacing w:line="276" w:lineRule="auto"/>
              <w:contextualSpacing/>
              <w:jc w:val="center"/>
              <w:rPr>
                <w:rFonts w:cs="Arial"/>
                <w:szCs w:val="20"/>
              </w:rPr>
            </w:pPr>
            <w:r>
              <w:rPr>
                <w:rFonts w:cs="Arial"/>
                <w:szCs w:val="20"/>
              </w:rPr>
              <w:t>36 meses</w:t>
            </w:r>
            <w:r w:rsidR="00DA3CC2" w:rsidRPr="00382A62">
              <w:rPr>
                <w:rFonts w:cs="Arial"/>
                <w:szCs w:val="20"/>
              </w:rPr>
              <w:t xml:space="preserve"> a partir de la aprobación</w:t>
            </w:r>
            <w:r w:rsidR="00D50582">
              <w:rPr>
                <w:rFonts w:cs="Arial"/>
                <w:szCs w:val="20"/>
              </w:rPr>
              <w:t>,</w:t>
            </w:r>
            <w:r w:rsidR="00DE5A59" w:rsidRPr="00DE5A59">
              <w:rPr>
                <w:rFonts w:cs="Arial"/>
                <w:szCs w:val="20"/>
              </w:rPr>
              <w:t xml:space="preserve"> prorrogable una vez previo envío de H</w:t>
            </w:r>
            <w:r w:rsidR="004C1F11">
              <w:rPr>
                <w:rFonts w:cs="Arial"/>
                <w:szCs w:val="20"/>
              </w:rPr>
              <w:t xml:space="preserve">echo </w:t>
            </w:r>
            <w:r w:rsidR="00DE5A59" w:rsidRPr="00DE5A59">
              <w:rPr>
                <w:rFonts w:cs="Arial"/>
                <w:szCs w:val="20"/>
              </w:rPr>
              <w:t>R</w:t>
            </w:r>
            <w:r w:rsidR="004C1F11">
              <w:rPr>
                <w:rFonts w:cs="Arial"/>
                <w:szCs w:val="20"/>
              </w:rPr>
              <w:t>elevante</w:t>
            </w:r>
          </w:p>
        </w:tc>
      </w:tr>
      <w:tr w:rsidR="00B36481" w:rsidRPr="00382A62" w14:paraId="2ED64CC3" w14:textId="6EBABFAF" w:rsidTr="00B36481">
        <w:trPr>
          <w:trHeight w:val="697"/>
        </w:trPr>
        <w:tc>
          <w:tcPr>
            <w:tcW w:w="2405" w:type="dxa"/>
            <w:shd w:val="clear" w:color="auto" w:fill="F2F2F2" w:themeFill="background1" w:themeFillShade="F2"/>
            <w:noWrap/>
            <w:vAlign w:val="center"/>
          </w:tcPr>
          <w:p w14:paraId="0086C7B2" w14:textId="77777777" w:rsidR="00B36481" w:rsidRPr="00382A62" w:rsidRDefault="00B36481" w:rsidP="00B36481">
            <w:pPr>
              <w:spacing w:line="276" w:lineRule="auto"/>
              <w:contextualSpacing/>
              <w:jc w:val="left"/>
              <w:rPr>
                <w:rFonts w:cs="Arial"/>
                <w:b/>
                <w:bCs/>
                <w:szCs w:val="20"/>
              </w:rPr>
            </w:pPr>
            <w:r w:rsidRPr="00382A62">
              <w:rPr>
                <w:rFonts w:cs="Arial"/>
                <w:b/>
                <w:bCs/>
                <w:szCs w:val="20"/>
              </w:rPr>
              <w:t>Monto disponible (1):</w:t>
            </w:r>
          </w:p>
        </w:tc>
        <w:tc>
          <w:tcPr>
            <w:tcW w:w="1843" w:type="dxa"/>
            <w:shd w:val="clear" w:color="auto" w:fill="FFFFFF" w:themeFill="background1"/>
            <w:noWrap/>
            <w:vAlign w:val="center"/>
          </w:tcPr>
          <w:p w14:paraId="4DA7AD16" w14:textId="77777777" w:rsidR="00B36481" w:rsidRPr="00382A62" w:rsidRDefault="00B36481" w:rsidP="00B36481">
            <w:pPr>
              <w:spacing w:line="276" w:lineRule="auto"/>
              <w:contextualSpacing/>
              <w:jc w:val="center"/>
              <w:rPr>
                <w:rFonts w:cs="Arial"/>
                <w:szCs w:val="20"/>
                <w:highlight w:val="yellow"/>
              </w:rPr>
            </w:pPr>
            <w:r w:rsidRPr="00382A62">
              <w:rPr>
                <w:rFonts w:cs="Arial"/>
                <w:szCs w:val="20"/>
              </w:rPr>
              <w:t>US$20.000.000,00</w:t>
            </w:r>
          </w:p>
        </w:tc>
        <w:tc>
          <w:tcPr>
            <w:tcW w:w="2268" w:type="dxa"/>
            <w:shd w:val="clear" w:color="auto" w:fill="FFFFFF" w:themeFill="background1"/>
            <w:vAlign w:val="center"/>
          </w:tcPr>
          <w:p w14:paraId="34A81264" w14:textId="44F115BA" w:rsidR="00B36481" w:rsidRPr="00382A62" w:rsidRDefault="00B36481" w:rsidP="00B36481">
            <w:pPr>
              <w:spacing w:line="276" w:lineRule="auto"/>
              <w:contextualSpacing/>
              <w:jc w:val="center"/>
              <w:rPr>
                <w:rFonts w:cs="Arial"/>
                <w:szCs w:val="20"/>
              </w:rPr>
            </w:pPr>
            <w:r w:rsidRPr="00382A62">
              <w:rPr>
                <w:rFonts w:cs="Arial"/>
                <w:szCs w:val="20"/>
              </w:rPr>
              <w:t>US$ 22,159,574.00</w:t>
            </w:r>
          </w:p>
        </w:tc>
        <w:tc>
          <w:tcPr>
            <w:tcW w:w="1984" w:type="dxa"/>
            <w:shd w:val="clear" w:color="auto" w:fill="FFFFFF" w:themeFill="background1"/>
            <w:vAlign w:val="center"/>
          </w:tcPr>
          <w:p w14:paraId="63BDB3B2" w14:textId="1411E4CF" w:rsidR="00B36481" w:rsidRPr="00382A62" w:rsidRDefault="00B36481" w:rsidP="00B36481">
            <w:pPr>
              <w:spacing w:line="276" w:lineRule="auto"/>
              <w:contextualSpacing/>
              <w:jc w:val="center"/>
              <w:rPr>
                <w:rFonts w:cs="Arial"/>
                <w:szCs w:val="20"/>
              </w:rPr>
            </w:pPr>
            <w:r w:rsidRPr="00382A62">
              <w:rPr>
                <w:rFonts w:cs="Arial"/>
                <w:szCs w:val="20"/>
              </w:rPr>
              <w:t>US$</w:t>
            </w:r>
            <w:r w:rsidR="00930A54">
              <w:rPr>
                <w:rFonts w:cs="Arial"/>
                <w:szCs w:val="20"/>
              </w:rPr>
              <w:t>4</w:t>
            </w:r>
            <w:r w:rsidRPr="00382A62">
              <w:rPr>
                <w:rFonts w:cs="Arial"/>
                <w:szCs w:val="20"/>
              </w:rPr>
              <w:t>0.000.000,00</w:t>
            </w:r>
          </w:p>
        </w:tc>
        <w:tc>
          <w:tcPr>
            <w:tcW w:w="1984" w:type="dxa"/>
            <w:shd w:val="clear" w:color="auto" w:fill="FFFFFF" w:themeFill="background1"/>
            <w:vAlign w:val="center"/>
          </w:tcPr>
          <w:p w14:paraId="7FA39C56" w14:textId="5AAA7877" w:rsidR="00B36481" w:rsidRPr="00382A62" w:rsidRDefault="00930A54" w:rsidP="00B36481">
            <w:pPr>
              <w:spacing w:line="276" w:lineRule="auto"/>
              <w:contextualSpacing/>
              <w:jc w:val="center"/>
              <w:rPr>
                <w:rFonts w:cs="Arial"/>
                <w:szCs w:val="20"/>
              </w:rPr>
            </w:pPr>
            <w:r w:rsidRPr="00382A62">
              <w:rPr>
                <w:rFonts w:cs="Arial"/>
                <w:szCs w:val="20"/>
              </w:rPr>
              <w:t>US$</w:t>
            </w:r>
            <w:r>
              <w:rPr>
                <w:rFonts w:cs="Arial"/>
                <w:szCs w:val="20"/>
              </w:rPr>
              <w:t>4</w:t>
            </w:r>
            <w:r w:rsidRPr="00382A62">
              <w:rPr>
                <w:rFonts w:cs="Arial"/>
                <w:szCs w:val="20"/>
              </w:rPr>
              <w:t>0.000.000,00</w:t>
            </w:r>
          </w:p>
        </w:tc>
      </w:tr>
      <w:tr w:rsidR="00B36481" w:rsidRPr="00382A62" w14:paraId="0C35F9FA" w14:textId="0A787983" w:rsidTr="00B36481">
        <w:trPr>
          <w:trHeight w:val="697"/>
        </w:trPr>
        <w:tc>
          <w:tcPr>
            <w:tcW w:w="2405" w:type="dxa"/>
            <w:shd w:val="clear" w:color="auto" w:fill="F2F2F2" w:themeFill="background1" w:themeFillShade="F2"/>
            <w:noWrap/>
            <w:vAlign w:val="center"/>
          </w:tcPr>
          <w:p w14:paraId="6E4BA4C9" w14:textId="77777777" w:rsidR="00B36481" w:rsidRPr="00382A62" w:rsidRDefault="00B36481" w:rsidP="00B36481">
            <w:pPr>
              <w:spacing w:line="276" w:lineRule="auto"/>
              <w:contextualSpacing/>
              <w:jc w:val="left"/>
              <w:rPr>
                <w:rFonts w:cs="Arial"/>
                <w:b/>
                <w:bCs/>
                <w:szCs w:val="20"/>
              </w:rPr>
            </w:pPr>
            <w:r w:rsidRPr="00382A62">
              <w:rPr>
                <w:rFonts w:cs="Arial"/>
                <w:b/>
                <w:bCs/>
                <w:szCs w:val="20"/>
              </w:rPr>
              <w:t>Estatus:</w:t>
            </w:r>
          </w:p>
        </w:tc>
        <w:tc>
          <w:tcPr>
            <w:tcW w:w="1843" w:type="dxa"/>
            <w:shd w:val="clear" w:color="auto" w:fill="FFFFFF" w:themeFill="background1"/>
            <w:noWrap/>
            <w:vAlign w:val="center"/>
          </w:tcPr>
          <w:p w14:paraId="66FDABF4" w14:textId="77777777" w:rsidR="00B36481" w:rsidRPr="00382A62" w:rsidRDefault="00B36481" w:rsidP="00B36481">
            <w:pPr>
              <w:spacing w:line="276" w:lineRule="auto"/>
              <w:contextualSpacing/>
              <w:jc w:val="center"/>
              <w:rPr>
                <w:rFonts w:cs="Arial"/>
                <w:szCs w:val="20"/>
                <w:highlight w:val="yellow"/>
              </w:rPr>
            </w:pPr>
            <w:r w:rsidRPr="00382A62">
              <w:rPr>
                <w:rFonts w:cs="Arial"/>
                <w:szCs w:val="20"/>
              </w:rPr>
              <w:t>Activo</w:t>
            </w:r>
          </w:p>
        </w:tc>
        <w:tc>
          <w:tcPr>
            <w:tcW w:w="2268" w:type="dxa"/>
            <w:shd w:val="clear" w:color="auto" w:fill="FFFFFF" w:themeFill="background1"/>
            <w:vAlign w:val="center"/>
          </w:tcPr>
          <w:p w14:paraId="2CBA9013" w14:textId="77777777" w:rsidR="00B36481" w:rsidRPr="00382A62" w:rsidRDefault="00B36481" w:rsidP="00B36481">
            <w:pPr>
              <w:spacing w:line="276" w:lineRule="auto"/>
              <w:contextualSpacing/>
              <w:jc w:val="center"/>
              <w:rPr>
                <w:rFonts w:cs="Arial"/>
                <w:szCs w:val="20"/>
              </w:rPr>
            </w:pPr>
            <w:r w:rsidRPr="00382A62">
              <w:rPr>
                <w:rFonts w:cs="Arial"/>
                <w:szCs w:val="20"/>
              </w:rPr>
              <w:t>Activo</w:t>
            </w:r>
          </w:p>
        </w:tc>
        <w:tc>
          <w:tcPr>
            <w:tcW w:w="1984" w:type="dxa"/>
            <w:shd w:val="clear" w:color="auto" w:fill="FFFFFF" w:themeFill="background1"/>
            <w:vAlign w:val="center"/>
          </w:tcPr>
          <w:p w14:paraId="4BD04F13" w14:textId="431DF53C" w:rsidR="00B36481" w:rsidRPr="00382A62" w:rsidRDefault="00B36481" w:rsidP="00B36481">
            <w:pPr>
              <w:spacing w:line="276" w:lineRule="auto"/>
              <w:contextualSpacing/>
              <w:jc w:val="center"/>
              <w:rPr>
                <w:rFonts w:cs="Arial"/>
                <w:szCs w:val="20"/>
              </w:rPr>
            </w:pPr>
            <w:r w:rsidRPr="00382A62">
              <w:rPr>
                <w:rFonts w:cs="Arial"/>
                <w:szCs w:val="20"/>
              </w:rPr>
              <w:t>Activo</w:t>
            </w:r>
          </w:p>
        </w:tc>
        <w:tc>
          <w:tcPr>
            <w:tcW w:w="1984" w:type="dxa"/>
            <w:shd w:val="clear" w:color="auto" w:fill="FFFFFF" w:themeFill="background1"/>
            <w:vAlign w:val="center"/>
          </w:tcPr>
          <w:p w14:paraId="117670E9" w14:textId="6F55CCF2" w:rsidR="00B36481" w:rsidRPr="00382A62" w:rsidRDefault="00B36481" w:rsidP="00B36481">
            <w:pPr>
              <w:spacing w:line="276" w:lineRule="auto"/>
              <w:contextualSpacing/>
              <w:jc w:val="center"/>
              <w:rPr>
                <w:rFonts w:cs="Arial"/>
                <w:szCs w:val="20"/>
              </w:rPr>
            </w:pPr>
            <w:r w:rsidRPr="00382A62">
              <w:rPr>
                <w:rFonts w:cs="Arial"/>
                <w:szCs w:val="20"/>
              </w:rPr>
              <w:t>Activo</w:t>
            </w:r>
          </w:p>
        </w:tc>
      </w:tr>
    </w:tbl>
    <w:p w14:paraId="6D39B124" w14:textId="103C99D7" w:rsidR="002558F5" w:rsidRDefault="002558F5" w:rsidP="002558F5">
      <w:pPr>
        <w:pStyle w:val="Prrafodelista"/>
        <w:spacing w:line="240" w:lineRule="auto"/>
        <w:rPr>
          <w:rFonts w:cs="Arial"/>
          <w:color w:val="7F7F7F" w:themeColor="text1" w:themeTint="80"/>
          <w:sz w:val="16"/>
          <w:szCs w:val="16"/>
        </w:rPr>
      </w:pPr>
    </w:p>
    <w:p w14:paraId="0DC3B3D4" w14:textId="447F9310" w:rsidR="007605E6" w:rsidRPr="009E227D" w:rsidRDefault="007605E6" w:rsidP="009E227D">
      <w:pPr>
        <w:pStyle w:val="Prrafodelista"/>
        <w:numPr>
          <w:ilvl w:val="0"/>
          <w:numId w:val="58"/>
        </w:numPr>
        <w:spacing w:line="240" w:lineRule="auto"/>
        <w:rPr>
          <w:rFonts w:cs="Arial"/>
          <w:color w:val="7F7F7F" w:themeColor="text1" w:themeTint="80"/>
          <w:sz w:val="16"/>
          <w:szCs w:val="16"/>
        </w:rPr>
      </w:pPr>
      <w:r w:rsidRPr="009E227D">
        <w:rPr>
          <w:rFonts w:cs="Arial"/>
          <w:color w:val="7F7F7F" w:themeColor="text1" w:themeTint="80"/>
          <w:sz w:val="16"/>
          <w:szCs w:val="16"/>
        </w:rPr>
        <w:t xml:space="preserve">Al 31 de </w:t>
      </w:r>
      <w:r w:rsidR="00200756" w:rsidRPr="009E227D">
        <w:rPr>
          <w:rFonts w:cs="Arial"/>
          <w:color w:val="7F7F7F" w:themeColor="text1" w:themeTint="80"/>
          <w:sz w:val="16"/>
          <w:szCs w:val="16"/>
        </w:rPr>
        <w:t>diciembre</w:t>
      </w:r>
      <w:r w:rsidRPr="009E227D">
        <w:rPr>
          <w:rFonts w:cs="Arial"/>
          <w:color w:val="7F7F7F" w:themeColor="text1" w:themeTint="80"/>
          <w:sz w:val="16"/>
          <w:szCs w:val="16"/>
        </w:rPr>
        <w:t xml:space="preserve"> de 202</w:t>
      </w:r>
      <w:r w:rsidR="00B81AA6" w:rsidRPr="009E227D">
        <w:rPr>
          <w:rFonts w:cs="Arial"/>
          <w:color w:val="7F7F7F" w:themeColor="text1" w:themeTint="80"/>
          <w:sz w:val="16"/>
          <w:szCs w:val="16"/>
        </w:rPr>
        <w:t>3</w:t>
      </w:r>
    </w:p>
    <w:p w14:paraId="3F9EA5D8" w14:textId="5ED57300" w:rsidR="009E227D" w:rsidRPr="009E227D" w:rsidRDefault="004C1F11" w:rsidP="009E227D">
      <w:pPr>
        <w:pStyle w:val="Prrafodelista"/>
        <w:numPr>
          <w:ilvl w:val="0"/>
          <w:numId w:val="58"/>
        </w:numPr>
        <w:spacing w:line="240" w:lineRule="auto"/>
        <w:rPr>
          <w:rFonts w:cs="Arial"/>
          <w:color w:val="7F7F7F" w:themeColor="text1" w:themeTint="80"/>
          <w:sz w:val="16"/>
          <w:szCs w:val="16"/>
        </w:rPr>
      </w:pPr>
      <w:r>
        <w:rPr>
          <w:rFonts w:cs="Arial"/>
          <w:color w:val="7F7F7F" w:themeColor="text1" w:themeTint="80"/>
          <w:sz w:val="16"/>
          <w:szCs w:val="16"/>
        </w:rPr>
        <w:t>Aprobados en</w:t>
      </w:r>
      <w:r w:rsidR="009E227D">
        <w:rPr>
          <w:rFonts w:cs="Arial"/>
          <w:color w:val="7F7F7F" w:themeColor="text1" w:themeTint="80"/>
          <w:sz w:val="16"/>
          <w:szCs w:val="16"/>
        </w:rPr>
        <w:t xml:space="preserve"> la asamblea de accionistas del 19 de marzo del 2024,</w:t>
      </w:r>
    </w:p>
    <w:p w14:paraId="3C85199E" w14:textId="77777777" w:rsidR="00FC6873" w:rsidRPr="00C21625" w:rsidRDefault="00FC6873" w:rsidP="007605E6">
      <w:pPr>
        <w:spacing w:line="240" w:lineRule="auto"/>
        <w:rPr>
          <w:rFonts w:cs="Arial"/>
          <w:color w:val="7F7F7F" w:themeColor="text1" w:themeTint="80"/>
          <w:sz w:val="16"/>
          <w:szCs w:val="16"/>
        </w:rPr>
      </w:pPr>
    </w:p>
    <w:p w14:paraId="6E191196" w14:textId="77777777" w:rsidR="007605E6" w:rsidRPr="00382A62" w:rsidRDefault="007605E6" w:rsidP="007605E6">
      <w:pPr>
        <w:pStyle w:val="Ttulo2"/>
        <w:numPr>
          <w:ilvl w:val="0"/>
          <w:numId w:val="8"/>
        </w:numPr>
        <w:rPr>
          <w:rFonts w:cs="Arial"/>
          <w:sz w:val="20"/>
          <w:szCs w:val="20"/>
        </w:rPr>
      </w:pPr>
      <w:bookmarkStart w:id="36" w:name="_Toc131092863"/>
      <w:bookmarkStart w:id="37" w:name="_Toc131501062"/>
      <w:bookmarkStart w:id="38" w:name="_Toc169624621"/>
      <w:r w:rsidRPr="00382A62">
        <w:rPr>
          <w:rFonts w:cs="Arial"/>
          <w:sz w:val="20"/>
          <w:szCs w:val="20"/>
        </w:rPr>
        <w:t>Identificación de los directores, gerentes y asesores involucrados con el proceso de oferta pública</w:t>
      </w:r>
      <w:bookmarkEnd w:id="36"/>
      <w:bookmarkEnd w:id="37"/>
      <w:bookmarkEnd w:id="38"/>
    </w:p>
    <w:p w14:paraId="59C77300" w14:textId="4FDF12FF" w:rsidR="007605E6" w:rsidRPr="00382A62" w:rsidRDefault="007605E6" w:rsidP="007605E6">
      <w:pPr>
        <w:pStyle w:val="Descripcin"/>
        <w:rPr>
          <w:rFonts w:cs="Arial"/>
          <w:szCs w:val="20"/>
        </w:rPr>
      </w:pPr>
      <w:bookmarkStart w:id="39" w:name="_Toc169624701"/>
      <w:r w:rsidRPr="00D11352">
        <w:rPr>
          <w:rFonts w:cs="Arial"/>
          <w:szCs w:val="20"/>
        </w:rPr>
        <w:t xml:space="preserve">Tabla </w:t>
      </w:r>
      <w:r w:rsidR="00423C23" w:rsidRPr="00D11352">
        <w:rPr>
          <w:rFonts w:cs="Arial"/>
          <w:szCs w:val="20"/>
        </w:rPr>
        <w:fldChar w:fldCharType="begin"/>
      </w:r>
      <w:r w:rsidR="00423C23" w:rsidRPr="00D11352">
        <w:rPr>
          <w:rFonts w:cs="Arial"/>
          <w:szCs w:val="20"/>
        </w:rPr>
        <w:instrText xml:space="preserve"> SEQ Tabla \* ARABIC </w:instrText>
      </w:r>
      <w:r w:rsidR="00423C23" w:rsidRPr="00D11352">
        <w:rPr>
          <w:rFonts w:cs="Arial"/>
          <w:szCs w:val="20"/>
        </w:rPr>
        <w:fldChar w:fldCharType="separate"/>
      </w:r>
      <w:r w:rsidR="00915ACD" w:rsidRPr="00D11352">
        <w:rPr>
          <w:rFonts w:cs="Arial"/>
          <w:noProof/>
          <w:szCs w:val="20"/>
        </w:rPr>
        <w:t>5</w:t>
      </w:r>
      <w:r w:rsidR="00423C23" w:rsidRPr="00D11352">
        <w:rPr>
          <w:rFonts w:cs="Arial"/>
          <w:noProof/>
          <w:szCs w:val="20"/>
        </w:rPr>
        <w:fldChar w:fldCharType="end"/>
      </w:r>
      <w:r w:rsidRPr="00D11352">
        <w:rPr>
          <w:rFonts w:cs="Arial"/>
          <w:szCs w:val="20"/>
        </w:rPr>
        <w:t xml:space="preserve"> - </w:t>
      </w:r>
      <w:r w:rsidR="00A1507A" w:rsidRPr="00D11352">
        <w:rPr>
          <w:rFonts w:cs="Arial"/>
          <w:szCs w:val="20"/>
        </w:rPr>
        <w:t>funcionarios</w:t>
      </w:r>
      <w:r w:rsidRPr="00D11352">
        <w:rPr>
          <w:rFonts w:cs="Arial"/>
          <w:szCs w:val="20"/>
        </w:rPr>
        <w:t xml:space="preserve"> involucrados en el proceso de oferta públic</w:t>
      </w:r>
      <w:r w:rsidR="00D50582" w:rsidRPr="00D11352">
        <w:rPr>
          <w:rFonts w:cs="Arial"/>
          <w:szCs w:val="20"/>
        </w:rPr>
        <w:t>a</w:t>
      </w:r>
      <w:bookmarkEnd w:id="39"/>
    </w:p>
    <w:tbl>
      <w:tblPr>
        <w:tblW w:w="109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382"/>
        <w:gridCol w:w="2045"/>
        <w:gridCol w:w="1453"/>
        <w:gridCol w:w="1149"/>
        <w:gridCol w:w="1182"/>
        <w:gridCol w:w="2689"/>
      </w:tblGrid>
      <w:tr w:rsidR="007605E6" w:rsidRPr="00382A62" w14:paraId="4DBBA01D" w14:textId="77777777" w:rsidTr="00D11352">
        <w:trPr>
          <w:trHeight w:val="514"/>
          <w:jc w:val="center"/>
        </w:trPr>
        <w:tc>
          <w:tcPr>
            <w:tcW w:w="2382" w:type="dxa"/>
            <w:shd w:val="clear" w:color="auto" w:fill="F2F2F2" w:themeFill="background1" w:themeFillShade="F2"/>
            <w:vAlign w:val="center"/>
            <w:hideMark/>
          </w:tcPr>
          <w:p w14:paraId="53939A78" w14:textId="77777777" w:rsidR="007605E6" w:rsidRPr="00382A62" w:rsidRDefault="007605E6" w:rsidP="007D00B2">
            <w:pPr>
              <w:spacing w:line="259" w:lineRule="auto"/>
              <w:jc w:val="center"/>
              <w:rPr>
                <w:rFonts w:cs="Arial"/>
                <w:b/>
                <w:bCs/>
                <w:szCs w:val="20"/>
              </w:rPr>
            </w:pPr>
            <w:r w:rsidRPr="00382A62">
              <w:rPr>
                <w:rFonts w:cs="Arial"/>
                <w:b/>
                <w:bCs/>
                <w:szCs w:val="20"/>
              </w:rPr>
              <w:t>Nombre</w:t>
            </w:r>
          </w:p>
        </w:tc>
        <w:tc>
          <w:tcPr>
            <w:tcW w:w="2045" w:type="dxa"/>
            <w:shd w:val="clear" w:color="auto" w:fill="F2F2F2" w:themeFill="background1" w:themeFillShade="F2"/>
            <w:vAlign w:val="center"/>
            <w:hideMark/>
          </w:tcPr>
          <w:p w14:paraId="6099D4C5" w14:textId="77777777" w:rsidR="007605E6" w:rsidRPr="00382A62" w:rsidRDefault="007605E6" w:rsidP="007D00B2">
            <w:pPr>
              <w:spacing w:line="259" w:lineRule="auto"/>
              <w:jc w:val="center"/>
              <w:rPr>
                <w:rFonts w:cs="Arial"/>
                <w:b/>
                <w:bCs/>
                <w:szCs w:val="20"/>
              </w:rPr>
            </w:pPr>
            <w:r w:rsidRPr="00382A62">
              <w:rPr>
                <w:rFonts w:cs="Arial"/>
                <w:b/>
                <w:bCs/>
                <w:szCs w:val="20"/>
              </w:rPr>
              <w:t>Puesto</w:t>
            </w:r>
          </w:p>
        </w:tc>
        <w:tc>
          <w:tcPr>
            <w:tcW w:w="1453" w:type="dxa"/>
            <w:shd w:val="clear" w:color="auto" w:fill="F2F2F2" w:themeFill="background1" w:themeFillShade="F2"/>
            <w:vAlign w:val="center"/>
            <w:hideMark/>
          </w:tcPr>
          <w:p w14:paraId="088467FB" w14:textId="77777777" w:rsidR="007605E6" w:rsidRPr="00382A62" w:rsidRDefault="007605E6" w:rsidP="007D00B2">
            <w:pPr>
              <w:spacing w:line="259" w:lineRule="auto"/>
              <w:jc w:val="center"/>
              <w:rPr>
                <w:rFonts w:cs="Arial"/>
                <w:b/>
                <w:bCs/>
                <w:szCs w:val="20"/>
              </w:rPr>
            </w:pPr>
            <w:r w:rsidRPr="00382A62">
              <w:rPr>
                <w:rFonts w:cs="Arial"/>
                <w:b/>
                <w:bCs/>
                <w:szCs w:val="20"/>
              </w:rPr>
              <w:t>Participación</w:t>
            </w:r>
          </w:p>
        </w:tc>
        <w:tc>
          <w:tcPr>
            <w:tcW w:w="1149" w:type="dxa"/>
            <w:shd w:val="clear" w:color="auto" w:fill="F2F2F2" w:themeFill="background1" w:themeFillShade="F2"/>
            <w:vAlign w:val="center"/>
            <w:hideMark/>
          </w:tcPr>
          <w:p w14:paraId="5A95B690" w14:textId="77777777" w:rsidR="007605E6" w:rsidRPr="00382A62" w:rsidRDefault="007605E6" w:rsidP="007D00B2">
            <w:pPr>
              <w:spacing w:line="259" w:lineRule="auto"/>
              <w:jc w:val="center"/>
              <w:rPr>
                <w:rFonts w:cs="Arial"/>
                <w:b/>
                <w:bCs/>
                <w:szCs w:val="20"/>
              </w:rPr>
            </w:pPr>
            <w:r w:rsidRPr="00382A62">
              <w:rPr>
                <w:rFonts w:cs="Arial"/>
                <w:b/>
                <w:bCs/>
                <w:szCs w:val="20"/>
              </w:rPr>
              <w:t>Fax</w:t>
            </w:r>
          </w:p>
        </w:tc>
        <w:tc>
          <w:tcPr>
            <w:tcW w:w="1182" w:type="dxa"/>
            <w:shd w:val="clear" w:color="auto" w:fill="F2F2F2" w:themeFill="background1" w:themeFillShade="F2"/>
            <w:vAlign w:val="center"/>
            <w:hideMark/>
          </w:tcPr>
          <w:p w14:paraId="3C899CDC" w14:textId="77777777" w:rsidR="007605E6" w:rsidRPr="00382A62" w:rsidRDefault="007605E6" w:rsidP="007D00B2">
            <w:pPr>
              <w:spacing w:line="259" w:lineRule="auto"/>
              <w:jc w:val="center"/>
              <w:rPr>
                <w:rFonts w:cs="Arial"/>
                <w:b/>
                <w:bCs/>
                <w:szCs w:val="20"/>
              </w:rPr>
            </w:pPr>
            <w:r w:rsidRPr="00382A62">
              <w:rPr>
                <w:rFonts w:cs="Arial"/>
                <w:b/>
                <w:bCs/>
                <w:szCs w:val="20"/>
              </w:rPr>
              <w:t>Teléfono</w:t>
            </w:r>
          </w:p>
        </w:tc>
        <w:tc>
          <w:tcPr>
            <w:tcW w:w="2689" w:type="dxa"/>
            <w:shd w:val="clear" w:color="auto" w:fill="F2F2F2" w:themeFill="background1" w:themeFillShade="F2"/>
            <w:vAlign w:val="center"/>
            <w:hideMark/>
          </w:tcPr>
          <w:p w14:paraId="06538901" w14:textId="77777777" w:rsidR="007605E6" w:rsidRPr="00382A62" w:rsidRDefault="007605E6" w:rsidP="007D00B2">
            <w:pPr>
              <w:spacing w:line="259" w:lineRule="auto"/>
              <w:jc w:val="center"/>
              <w:rPr>
                <w:rFonts w:cs="Arial"/>
                <w:b/>
                <w:bCs/>
                <w:szCs w:val="20"/>
              </w:rPr>
            </w:pPr>
            <w:r w:rsidRPr="00382A62">
              <w:rPr>
                <w:rFonts w:cs="Arial"/>
                <w:b/>
                <w:bCs/>
                <w:szCs w:val="20"/>
              </w:rPr>
              <w:t>Correo Electrónico</w:t>
            </w:r>
          </w:p>
        </w:tc>
      </w:tr>
      <w:tr w:rsidR="007605E6" w:rsidRPr="00382A62" w14:paraId="76E5E9AE" w14:textId="77777777" w:rsidTr="00D11352">
        <w:trPr>
          <w:trHeight w:val="470"/>
          <w:jc w:val="center"/>
        </w:trPr>
        <w:tc>
          <w:tcPr>
            <w:tcW w:w="2382" w:type="dxa"/>
            <w:shd w:val="clear" w:color="000000" w:fill="FFFFFF"/>
            <w:vAlign w:val="center"/>
            <w:hideMark/>
          </w:tcPr>
          <w:p w14:paraId="31FA4D94" w14:textId="4A422FC3" w:rsidR="007605E6" w:rsidRPr="00382A62" w:rsidRDefault="00511FAB" w:rsidP="006D1674">
            <w:pPr>
              <w:spacing w:after="0" w:line="240" w:lineRule="auto"/>
              <w:jc w:val="left"/>
              <w:rPr>
                <w:rFonts w:cs="Arial"/>
                <w:szCs w:val="20"/>
              </w:rPr>
            </w:pPr>
            <w:r w:rsidRPr="00382A62">
              <w:rPr>
                <w:rFonts w:cs="Arial"/>
                <w:szCs w:val="20"/>
              </w:rPr>
              <w:t>Rolando Carvajal Bravo</w:t>
            </w:r>
          </w:p>
        </w:tc>
        <w:tc>
          <w:tcPr>
            <w:tcW w:w="2045" w:type="dxa"/>
            <w:shd w:val="clear" w:color="000000" w:fill="FFFFFF"/>
            <w:vAlign w:val="center"/>
            <w:hideMark/>
          </w:tcPr>
          <w:p w14:paraId="6A7F06D2" w14:textId="77777777" w:rsidR="007605E6" w:rsidRPr="00382A62" w:rsidRDefault="007605E6" w:rsidP="006D1674">
            <w:pPr>
              <w:spacing w:after="0" w:line="240" w:lineRule="auto"/>
              <w:jc w:val="left"/>
              <w:rPr>
                <w:rFonts w:cs="Arial"/>
                <w:szCs w:val="20"/>
              </w:rPr>
            </w:pPr>
            <w:r w:rsidRPr="00382A62">
              <w:rPr>
                <w:rFonts w:cs="Arial"/>
                <w:szCs w:val="20"/>
              </w:rPr>
              <w:t xml:space="preserve">Director General </w:t>
            </w:r>
          </w:p>
        </w:tc>
        <w:tc>
          <w:tcPr>
            <w:tcW w:w="1453" w:type="dxa"/>
            <w:shd w:val="clear" w:color="000000" w:fill="FFFFFF"/>
            <w:vAlign w:val="center"/>
            <w:hideMark/>
          </w:tcPr>
          <w:p w14:paraId="2635A140" w14:textId="77777777" w:rsidR="007605E6" w:rsidRPr="00382A62" w:rsidRDefault="007605E6" w:rsidP="006D1674">
            <w:pPr>
              <w:spacing w:after="0" w:line="240" w:lineRule="auto"/>
              <w:jc w:val="left"/>
              <w:rPr>
                <w:rFonts w:cs="Arial"/>
                <w:szCs w:val="20"/>
              </w:rPr>
            </w:pPr>
            <w:r w:rsidRPr="00382A62">
              <w:rPr>
                <w:rFonts w:cs="Arial"/>
                <w:szCs w:val="20"/>
              </w:rPr>
              <w:t>Representante Legal</w:t>
            </w:r>
          </w:p>
        </w:tc>
        <w:tc>
          <w:tcPr>
            <w:tcW w:w="1149" w:type="dxa"/>
            <w:shd w:val="clear" w:color="000000" w:fill="FFFFFF"/>
            <w:vAlign w:val="center"/>
            <w:hideMark/>
          </w:tcPr>
          <w:p w14:paraId="7277CA7F" w14:textId="77777777" w:rsidR="007605E6" w:rsidRPr="00382A62" w:rsidRDefault="007605E6" w:rsidP="006D1674">
            <w:pPr>
              <w:spacing w:after="0" w:line="240" w:lineRule="auto"/>
              <w:jc w:val="left"/>
              <w:rPr>
                <w:rFonts w:cs="Arial"/>
                <w:szCs w:val="20"/>
              </w:rPr>
            </w:pPr>
            <w:r w:rsidRPr="00382A62">
              <w:rPr>
                <w:rFonts w:cs="Arial"/>
                <w:szCs w:val="20"/>
              </w:rPr>
              <w:t>2437-7011</w:t>
            </w:r>
          </w:p>
        </w:tc>
        <w:tc>
          <w:tcPr>
            <w:tcW w:w="1182" w:type="dxa"/>
            <w:shd w:val="clear" w:color="000000" w:fill="FFFFFF"/>
            <w:vAlign w:val="center"/>
            <w:hideMark/>
          </w:tcPr>
          <w:p w14:paraId="78A05774" w14:textId="77777777" w:rsidR="007605E6" w:rsidRPr="00382A62" w:rsidRDefault="007605E6" w:rsidP="006D1674">
            <w:pPr>
              <w:spacing w:after="0" w:line="240" w:lineRule="auto"/>
              <w:jc w:val="left"/>
              <w:rPr>
                <w:rFonts w:cs="Arial"/>
                <w:szCs w:val="20"/>
              </w:rPr>
            </w:pPr>
            <w:r w:rsidRPr="00382A62">
              <w:rPr>
                <w:rFonts w:cs="Arial"/>
                <w:szCs w:val="20"/>
              </w:rPr>
              <w:t>2437-6700</w:t>
            </w:r>
          </w:p>
        </w:tc>
        <w:tc>
          <w:tcPr>
            <w:tcW w:w="2689" w:type="dxa"/>
            <w:shd w:val="clear" w:color="000000" w:fill="FFFFFF"/>
            <w:vAlign w:val="center"/>
            <w:hideMark/>
          </w:tcPr>
          <w:p w14:paraId="3A47FDF1" w14:textId="29142A2F" w:rsidR="00423C23" w:rsidRPr="00382A62" w:rsidRDefault="00000000" w:rsidP="006D1674">
            <w:pPr>
              <w:spacing w:after="0" w:line="240" w:lineRule="auto"/>
              <w:jc w:val="left"/>
              <w:rPr>
                <w:rFonts w:cs="Arial"/>
                <w:szCs w:val="20"/>
              </w:rPr>
            </w:pPr>
            <w:hyperlink r:id="rId20" w:history="1">
              <w:r w:rsidR="00423C23" w:rsidRPr="00382A62">
                <w:rPr>
                  <w:rStyle w:val="Hipervnculo"/>
                  <w:rFonts w:cs="Arial"/>
                  <w:szCs w:val="20"/>
                </w:rPr>
                <w:t>rolando.carvajal@fifco.com</w:t>
              </w:r>
            </w:hyperlink>
          </w:p>
        </w:tc>
      </w:tr>
      <w:tr w:rsidR="007605E6" w:rsidRPr="00382A62" w14:paraId="109C650A" w14:textId="77777777" w:rsidTr="00D11352">
        <w:trPr>
          <w:trHeight w:val="421"/>
          <w:jc w:val="center"/>
        </w:trPr>
        <w:tc>
          <w:tcPr>
            <w:tcW w:w="2382" w:type="dxa"/>
            <w:shd w:val="clear" w:color="000000" w:fill="FFFFFF"/>
            <w:vAlign w:val="center"/>
            <w:hideMark/>
          </w:tcPr>
          <w:p w14:paraId="6D429DF6" w14:textId="77777777" w:rsidR="007605E6" w:rsidRPr="00382A62" w:rsidRDefault="007605E6" w:rsidP="006D1674">
            <w:pPr>
              <w:spacing w:after="0" w:line="240" w:lineRule="auto"/>
              <w:jc w:val="left"/>
              <w:rPr>
                <w:rFonts w:cs="Arial"/>
                <w:szCs w:val="20"/>
              </w:rPr>
            </w:pPr>
            <w:r w:rsidRPr="00382A62">
              <w:rPr>
                <w:rFonts w:cs="Arial"/>
                <w:szCs w:val="20"/>
              </w:rPr>
              <w:t>Carlos Manuel Rojas Koberg</w:t>
            </w:r>
          </w:p>
        </w:tc>
        <w:tc>
          <w:tcPr>
            <w:tcW w:w="2045" w:type="dxa"/>
            <w:shd w:val="clear" w:color="000000" w:fill="FFFFFF"/>
            <w:vAlign w:val="center"/>
            <w:hideMark/>
          </w:tcPr>
          <w:p w14:paraId="2FB2D9FC" w14:textId="77777777" w:rsidR="007605E6" w:rsidRPr="00382A62" w:rsidRDefault="007605E6" w:rsidP="006D1674">
            <w:pPr>
              <w:spacing w:after="0" w:line="240" w:lineRule="auto"/>
              <w:jc w:val="left"/>
              <w:rPr>
                <w:rFonts w:cs="Arial"/>
                <w:szCs w:val="20"/>
              </w:rPr>
            </w:pPr>
            <w:r w:rsidRPr="00382A62">
              <w:rPr>
                <w:rFonts w:cs="Arial"/>
                <w:szCs w:val="20"/>
              </w:rPr>
              <w:t>Director de Finanzas y Servicios Corporativos</w:t>
            </w:r>
          </w:p>
        </w:tc>
        <w:tc>
          <w:tcPr>
            <w:tcW w:w="1453" w:type="dxa"/>
            <w:shd w:val="clear" w:color="000000" w:fill="FFFFFF"/>
            <w:vAlign w:val="center"/>
            <w:hideMark/>
          </w:tcPr>
          <w:p w14:paraId="7B615682" w14:textId="77777777" w:rsidR="007605E6" w:rsidRPr="00382A62" w:rsidRDefault="007605E6" w:rsidP="006D1674">
            <w:pPr>
              <w:spacing w:after="0" w:line="240" w:lineRule="auto"/>
              <w:jc w:val="left"/>
              <w:rPr>
                <w:rFonts w:cs="Arial"/>
                <w:szCs w:val="20"/>
              </w:rPr>
            </w:pPr>
            <w:r w:rsidRPr="00382A62">
              <w:rPr>
                <w:rFonts w:cs="Arial"/>
                <w:szCs w:val="20"/>
              </w:rPr>
              <w:t>Responsable</w:t>
            </w:r>
          </w:p>
        </w:tc>
        <w:tc>
          <w:tcPr>
            <w:tcW w:w="1149" w:type="dxa"/>
            <w:shd w:val="clear" w:color="000000" w:fill="FFFFFF"/>
            <w:vAlign w:val="center"/>
            <w:hideMark/>
          </w:tcPr>
          <w:p w14:paraId="6040C1BF" w14:textId="77777777" w:rsidR="007605E6" w:rsidRPr="00382A62" w:rsidRDefault="007605E6" w:rsidP="006D1674">
            <w:pPr>
              <w:spacing w:after="0" w:line="240" w:lineRule="auto"/>
              <w:jc w:val="left"/>
              <w:rPr>
                <w:rFonts w:cs="Arial"/>
                <w:szCs w:val="20"/>
              </w:rPr>
            </w:pPr>
            <w:r w:rsidRPr="00382A62">
              <w:rPr>
                <w:rFonts w:cs="Arial"/>
                <w:szCs w:val="20"/>
              </w:rPr>
              <w:t>2437-7011</w:t>
            </w:r>
          </w:p>
        </w:tc>
        <w:tc>
          <w:tcPr>
            <w:tcW w:w="1182" w:type="dxa"/>
            <w:shd w:val="clear" w:color="000000" w:fill="FFFFFF"/>
            <w:vAlign w:val="center"/>
            <w:hideMark/>
          </w:tcPr>
          <w:p w14:paraId="2F55946E" w14:textId="77777777" w:rsidR="007605E6" w:rsidRPr="00382A62" w:rsidRDefault="007605E6" w:rsidP="006D1674">
            <w:pPr>
              <w:spacing w:after="0" w:line="240" w:lineRule="auto"/>
              <w:jc w:val="left"/>
              <w:rPr>
                <w:rFonts w:cs="Arial"/>
                <w:szCs w:val="20"/>
              </w:rPr>
            </w:pPr>
            <w:r w:rsidRPr="00382A62">
              <w:rPr>
                <w:rFonts w:cs="Arial"/>
                <w:szCs w:val="20"/>
              </w:rPr>
              <w:t>2437-6700</w:t>
            </w:r>
          </w:p>
        </w:tc>
        <w:tc>
          <w:tcPr>
            <w:tcW w:w="2689" w:type="dxa"/>
            <w:shd w:val="clear" w:color="000000" w:fill="FFFFFF"/>
            <w:vAlign w:val="center"/>
            <w:hideMark/>
          </w:tcPr>
          <w:p w14:paraId="012C03DA" w14:textId="77777777" w:rsidR="007605E6" w:rsidRPr="00382A62" w:rsidRDefault="00000000" w:rsidP="006D1674">
            <w:pPr>
              <w:spacing w:after="0" w:line="240" w:lineRule="auto"/>
              <w:jc w:val="left"/>
              <w:rPr>
                <w:rFonts w:cs="Arial"/>
                <w:szCs w:val="20"/>
                <w:u w:val="single"/>
              </w:rPr>
            </w:pPr>
            <w:hyperlink r:id="rId21" w:history="1">
              <w:r w:rsidR="007605E6" w:rsidRPr="00382A62">
                <w:rPr>
                  <w:rStyle w:val="Hipervnculo"/>
                  <w:rFonts w:cs="Arial"/>
                  <w:szCs w:val="20"/>
                </w:rPr>
                <w:t>carlos.rojas@fifco.com</w:t>
              </w:r>
            </w:hyperlink>
          </w:p>
        </w:tc>
      </w:tr>
      <w:tr w:rsidR="007605E6" w:rsidRPr="00382A62" w14:paraId="361F7D7C" w14:textId="77777777" w:rsidTr="00D11352">
        <w:trPr>
          <w:trHeight w:val="606"/>
          <w:jc w:val="center"/>
        </w:trPr>
        <w:tc>
          <w:tcPr>
            <w:tcW w:w="2382" w:type="dxa"/>
            <w:shd w:val="clear" w:color="000000" w:fill="FFFFFF"/>
            <w:vAlign w:val="center"/>
            <w:hideMark/>
          </w:tcPr>
          <w:p w14:paraId="5ADCF5DE" w14:textId="6374FB80" w:rsidR="007605E6" w:rsidRPr="00382A62" w:rsidRDefault="007605E6" w:rsidP="006D1674">
            <w:pPr>
              <w:spacing w:after="0" w:line="240" w:lineRule="auto"/>
              <w:jc w:val="left"/>
              <w:rPr>
                <w:rFonts w:cs="Arial"/>
                <w:szCs w:val="20"/>
              </w:rPr>
            </w:pPr>
            <w:r w:rsidRPr="00382A62">
              <w:rPr>
                <w:rFonts w:cs="Arial"/>
                <w:szCs w:val="20"/>
              </w:rPr>
              <w:t xml:space="preserve">Maureen Phillips Murillo </w:t>
            </w:r>
          </w:p>
        </w:tc>
        <w:tc>
          <w:tcPr>
            <w:tcW w:w="2045" w:type="dxa"/>
            <w:shd w:val="clear" w:color="000000" w:fill="FFFFFF"/>
            <w:vAlign w:val="center"/>
            <w:hideMark/>
          </w:tcPr>
          <w:p w14:paraId="69D124B1" w14:textId="77777777" w:rsidR="007605E6" w:rsidRPr="00382A62" w:rsidRDefault="007605E6" w:rsidP="006D1674">
            <w:pPr>
              <w:spacing w:after="0" w:line="240" w:lineRule="auto"/>
              <w:jc w:val="left"/>
              <w:rPr>
                <w:rFonts w:cs="Arial"/>
                <w:szCs w:val="20"/>
              </w:rPr>
            </w:pPr>
            <w:r w:rsidRPr="00382A62">
              <w:rPr>
                <w:rFonts w:cs="Arial"/>
                <w:szCs w:val="20"/>
              </w:rPr>
              <w:t>Gerente Corporativo de Tesorería e Impuestos</w:t>
            </w:r>
          </w:p>
        </w:tc>
        <w:tc>
          <w:tcPr>
            <w:tcW w:w="1453" w:type="dxa"/>
            <w:shd w:val="clear" w:color="000000" w:fill="FFFFFF"/>
            <w:vAlign w:val="center"/>
            <w:hideMark/>
          </w:tcPr>
          <w:p w14:paraId="17799722" w14:textId="77777777" w:rsidR="007605E6" w:rsidRPr="00382A62" w:rsidRDefault="007605E6" w:rsidP="006D1674">
            <w:pPr>
              <w:spacing w:after="0" w:line="240" w:lineRule="auto"/>
              <w:jc w:val="left"/>
              <w:rPr>
                <w:rFonts w:cs="Arial"/>
                <w:szCs w:val="20"/>
              </w:rPr>
            </w:pPr>
            <w:r w:rsidRPr="00382A62">
              <w:rPr>
                <w:rFonts w:cs="Arial"/>
                <w:szCs w:val="20"/>
              </w:rPr>
              <w:t>Responsable</w:t>
            </w:r>
          </w:p>
        </w:tc>
        <w:tc>
          <w:tcPr>
            <w:tcW w:w="1149" w:type="dxa"/>
            <w:shd w:val="clear" w:color="000000" w:fill="FFFFFF"/>
            <w:vAlign w:val="center"/>
            <w:hideMark/>
          </w:tcPr>
          <w:p w14:paraId="2EA7BE5B" w14:textId="77777777" w:rsidR="007605E6" w:rsidRPr="00382A62" w:rsidRDefault="007605E6" w:rsidP="006D1674">
            <w:pPr>
              <w:spacing w:after="0" w:line="240" w:lineRule="auto"/>
              <w:jc w:val="left"/>
              <w:rPr>
                <w:rFonts w:cs="Arial"/>
                <w:szCs w:val="20"/>
              </w:rPr>
            </w:pPr>
            <w:r w:rsidRPr="00382A62">
              <w:rPr>
                <w:rFonts w:cs="Arial"/>
                <w:szCs w:val="20"/>
              </w:rPr>
              <w:t>2437-7011</w:t>
            </w:r>
          </w:p>
        </w:tc>
        <w:tc>
          <w:tcPr>
            <w:tcW w:w="1182" w:type="dxa"/>
            <w:shd w:val="clear" w:color="000000" w:fill="FFFFFF"/>
            <w:vAlign w:val="center"/>
            <w:hideMark/>
          </w:tcPr>
          <w:p w14:paraId="743E7C14" w14:textId="77777777" w:rsidR="007605E6" w:rsidRPr="00382A62" w:rsidRDefault="007605E6" w:rsidP="006D1674">
            <w:pPr>
              <w:spacing w:after="0" w:line="240" w:lineRule="auto"/>
              <w:jc w:val="left"/>
              <w:rPr>
                <w:rFonts w:cs="Arial"/>
                <w:szCs w:val="20"/>
              </w:rPr>
            </w:pPr>
            <w:r w:rsidRPr="00382A62">
              <w:rPr>
                <w:rFonts w:cs="Arial"/>
                <w:szCs w:val="20"/>
              </w:rPr>
              <w:t>2437-6700</w:t>
            </w:r>
          </w:p>
        </w:tc>
        <w:tc>
          <w:tcPr>
            <w:tcW w:w="2689" w:type="dxa"/>
            <w:shd w:val="clear" w:color="000000" w:fill="FFFFFF"/>
            <w:vAlign w:val="center"/>
            <w:hideMark/>
          </w:tcPr>
          <w:p w14:paraId="1C2AEEFF" w14:textId="77777777" w:rsidR="007605E6" w:rsidRPr="00382A62" w:rsidRDefault="00000000" w:rsidP="006D1674">
            <w:pPr>
              <w:spacing w:after="0" w:line="240" w:lineRule="auto"/>
              <w:jc w:val="left"/>
              <w:rPr>
                <w:rFonts w:cs="Arial"/>
                <w:szCs w:val="20"/>
                <w:u w:val="single"/>
              </w:rPr>
            </w:pPr>
            <w:hyperlink r:id="rId22" w:history="1">
              <w:r w:rsidR="007605E6" w:rsidRPr="00382A62">
                <w:rPr>
                  <w:rStyle w:val="Hipervnculo"/>
                  <w:rFonts w:cs="Arial"/>
                  <w:szCs w:val="20"/>
                </w:rPr>
                <w:t>maureen.phillips@fifco.com</w:t>
              </w:r>
            </w:hyperlink>
          </w:p>
        </w:tc>
      </w:tr>
      <w:tr w:rsidR="00D11352" w:rsidRPr="00382A62" w14:paraId="6A8A79CA" w14:textId="77777777" w:rsidTr="00EC761A">
        <w:trPr>
          <w:trHeight w:val="606"/>
          <w:jc w:val="center"/>
        </w:trPr>
        <w:tc>
          <w:tcPr>
            <w:tcW w:w="2382" w:type="dxa"/>
            <w:shd w:val="clear" w:color="000000" w:fill="FFFFFF"/>
            <w:vAlign w:val="center"/>
          </w:tcPr>
          <w:p w14:paraId="0DDC1319" w14:textId="5DE1D435" w:rsidR="00D11352" w:rsidRPr="00382A62" w:rsidRDefault="00D11352" w:rsidP="00870D16">
            <w:pPr>
              <w:spacing w:after="0" w:line="240" w:lineRule="auto"/>
              <w:jc w:val="left"/>
              <w:rPr>
                <w:rFonts w:cs="Arial"/>
                <w:szCs w:val="20"/>
              </w:rPr>
            </w:pPr>
            <w:r w:rsidRPr="00382A62">
              <w:rPr>
                <w:rFonts w:cs="Arial"/>
                <w:szCs w:val="20"/>
              </w:rPr>
              <w:t>Deloitte &amp; Touche, S.A.</w:t>
            </w:r>
          </w:p>
        </w:tc>
        <w:tc>
          <w:tcPr>
            <w:tcW w:w="2045" w:type="dxa"/>
            <w:shd w:val="clear" w:color="000000" w:fill="FFFFFF"/>
            <w:vAlign w:val="center"/>
          </w:tcPr>
          <w:p w14:paraId="4ED54E9E" w14:textId="26C9B868" w:rsidR="00D11352" w:rsidRPr="00382A62" w:rsidRDefault="00D11352" w:rsidP="00870D16">
            <w:pPr>
              <w:spacing w:after="0" w:line="240" w:lineRule="auto"/>
              <w:jc w:val="left"/>
              <w:rPr>
                <w:rFonts w:cs="Arial"/>
                <w:szCs w:val="20"/>
              </w:rPr>
            </w:pPr>
            <w:r w:rsidRPr="00382A62">
              <w:rPr>
                <w:rFonts w:cs="Arial"/>
                <w:szCs w:val="20"/>
              </w:rPr>
              <w:t>Auditora Externa de la Entidad</w:t>
            </w:r>
          </w:p>
        </w:tc>
        <w:tc>
          <w:tcPr>
            <w:tcW w:w="1453" w:type="dxa"/>
            <w:shd w:val="clear" w:color="000000" w:fill="FFFFFF"/>
            <w:vAlign w:val="center"/>
          </w:tcPr>
          <w:p w14:paraId="6835E780" w14:textId="51F3A10F" w:rsidR="00D11352" w:rsidRPr="00382A62" w:rsidRDefault="00D11352" w:rsidP="00870D16">
            <w:pPr>
              <w:spacing w:after="0" w:line="240" w:lineRule="auto"/>
              <w:jc w:val="left"/>
              <w:rPr>
                <w:rFonts w:cs="Arial"/>
                <w:szCs w:val="20"/>
              </w:rPr>
            </w:pPr>
            <w:r w:rsidRPr="00382A62">
              <w:rPr>
                <w:rFonts w:cs="Arial"/>
                <w:szCs w:val="20"/>
              </w:rPr>
              <w:t>Firma Auditoría Externa</w:t>
            </w:r>
          </w:p>
        </w:tc>
        <w:tc>
          <w:tcPr>
            <w:tcW w:w="1149" w:type="dxa"/>
            <w:shd w:val="clear" w:color="000000" w:fill="FFFFFF"/>
            <w:vAlign w:val="center"/>
          </w:tcPr>
          <w:p w14:paraId="76FF0D1C" w14:textId="049E0D78" w:rsidR="00D11352" w:rsidRPr="00382A62" w:rsidRDefault="00D11352" w:rsidP="00870D16">
            <w:pPr>
              <w:spacing w:after="0" w:line="240" w:lineRule="auto"/>
              <w:jc w:val="left"/>
              <w:rPr>
                <w:rFonts w:cs="Arial"/>
                <w:szCs w:val="20"/>
              </w:rPr>
            </w:pPr>
            <w:r w:rsidRPr="00382A62">
              <w:rPr>
                <w:rFonts w:cs="Arial"/>
                <w:szCs w:val="20"/>
              </w:rPr>
              <w:t>2246-5100</w:t>
            </w:r>
          </w:p>
        </w:tc>
        <w:tc>
          <w:tcPr>
            <w:tcW w:w="1182" w:type="dxa"/>
            <w:shd w:val="clear" w:color="000000" w:fill="FFFFFF"/>
            <w:vAlign w:val="center"/>
          </w:tcPr>
          <w:p w14:paraId="31A6F5CA" w14:textId="06BAC263" w:rsidR="00D11352" w:rsidRPr="00382A62" w:rsidRDefault="00D11352" w:rsidP="00870D16">
            <w:pPr>
              <w:spacing w:after="0" w:line="240" w:lineRule="auto"/>
              <w:jc w:val="left"/>
              <w:rPr>
                <w:rFonts w:cs="Arial"/>
                <w:szCs w:val="20"/>
              </w:rPr>
            </w:pPr>
            <w:r w:rsidRPr="00382A62">
              <w:rPr>
                <w:rFonts w:cs="Arial"/>
                <w:szCs w:val="20"/>
              </w:rPr>
              <w:t>2246-5000</w:t>
            </w:r>
          </w:p>
        </w:tc>
        <w:tc>
          <w:tcPr>
            <w:tcW w:w="2689" w:type="dxa"/>
            <w:shd w:val="clear" w:color="000000" w:fill="FFFFFF"/>
            <w:vAlign w:val="center"/>
          </w:tcPr>
          <w:p w14:paraId="6D3021B8" w14:textId="45BFFCB2" w:rsidR="00D11352" w:rsidRDefault="00000000" w:rsidP="00870D16">
            <w:pPr>
              <w:spacing w:after="0" w:line="240" w:lineRule="auto"/>
              <w:jc w:val="left"/>
            </w:pPr>
            <w:hyperlink r:id="rId23" w:history="1">
              <w:r w:rsidR="00D11352" w:rsidRPr="00382A62">
                <w:rPr>
                  <w:rStyle w:val="Hipervnculo"/>
                  <w:rFonts w:cs="Arial"/>
                  <w:szCs w:val="20"/>
                </w:rPr>
                <w:t>informacion@deloitte.com</w:t>
              </w:r>
            </w:hyperlink>
          </w:p>
        </w:tc>
      </w:tr>
    </w:tbl>
    <w:p w14:paraId="331B881C" w14:textId="77777777" w:rsidR="0081067F" w:rsidRDefault="0081067F">
      <w:pPr>
        <w:spacing w:line="259" w:lineRule="auto"/>
        <w:jc w:val="left"/>
        <w:rPr>
          <w:rFonts w:cs="Arial"/>
          <w:szCs w:val="20"/>
        </w:rPr>
      </w:pPr>
      <w:r>
        <w:rPr>
          <w:rFonts w:cs="Arial"/>
          <w:szCs w:val="20"/>
        </w:rPr>
        <w:br w:type="page"/>
      </w:r>
    </w:p>
    <w:p w14:paraId="3F2DAB57" w14:textId="098263FA" w:rsidR="00B057E0" w:rsidRDefault="0071620C" w:rsidP="002E1AAA">
      <w:pPr>
        <w:rPr>
          <w:rFonts w:cs="Arial"/>
          <w:szCs w:val="20"/>
        </w:rPr>
      </w:pPr>
      <w:r w:rsidRPr="00382A62">
        <w:rPr>
          <w:rFonts w:cs="Arial"/>
          <w:noProof/>
          <w:szCs w:val="20"/>
        </w:rPr>
        <w:lastRenderedPageBreak/>
        <w:drawing>
          <wp:anchor distT="0" distB="0" distL="114300" distR="114300" simplePos="0" relativeHeight="251698176" behindDoc="1" locked="0" layoutInCell="1" allowOverlap="1" wp14:anchorId="4E1347F3" wp14:editId="6A421468">
            <wp:simplePos x="0" y="0"/>
            <wp:positionH relativeFrom="margin">
              <wp:align>center</wp:align>
            </wp:positionH>
            <wp:positionV relativeFrom="paragraph">
              <wp:posOffset>-912739</wp:posOffset>
            </wp:positionV>
            <wp:extent cx="7736441" cy="10185988"/>
            <wp:effectExtent l="0" t="0" r="0" b="6350"/>
            <wp:wrapNone/>
            <wp:docPr id="9" name="Imagen 9"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 Word&#10;&#10;Descripción generada automáticamente"/>
                    <pic:cNvPicPr/>
                  </pic:nvPicPr>
                  <pic:blipFill rotWithShape="1">
                    <a:blip r:embed="rId24">
                      <a:extLst>
                        <a:ext uri="{28A0092B-C50C-407E-A947-70E740481C1C}">
                          <a14:useLocalDpi xmlns:a14="http://schemas.microsoft.com/office/drawing/2010/main" val="0"/>
                        </a:ext>
                      </a:extLst>
                    </a:blip>
                    <a:srcRect l="68058" t="25689" r="18776" b="12681"/>
                    <a:stretch/>
                  </pic:blipFill>
                  <pic:spPr bwMode="auto">
                    <a:xfrm>
                      <a:off x="0" y="0"/>
                      <a:ext cx="7736441" cy="101859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D5A9DB" w14:textId="16AC4EA9" w:rsidR="000A232D" w:rsidRPr="00382A62" w:rsidRDefault="000A232D" w:rsidP="002E1AAA">
      <w:pPr>
        <w:rPr>
          <w:rFonts w:cs="Arial"/>
          <w:szCs w:val="20"/>
        </w:rPr>
      </w:pPr>
    </w:p>
    <w:p w14:paraId="21E224C8" w14:textId="7DC736F2" w:rsidR="000A232D" w:rsidRPr="00382A62" w:rsidRDefault="000A232D" w:rsidP="002E1AAA">
      <w:pPr>
        <w:rPr>
          <w:rFonts w:cs="Arial"/>
          <w:szCs w:val="20"/>
        </w:rPr>
      </w:pPr>
    </w:p>
    <w:p w14:paraId="7BA9C79F" w14:textId="77777777" w:rsidR="000A232D" w:rsidRPr="00382A62" w:rsidRDefault="000A232D" w:rsidP="002E1AAA">
      <w:pPr>
        <w:rPr>
          <w:rFonts w:cs="Arial"/>
          <w:szCs w:val="20"/>
        </w:rPr>
      </w:pPr>
    </w:p>
    <w:p w14:paraId="3B5C1D17" w14:textId="40819C4E" w:rsidR="000A232D" w:rsidRPr="00382A62" w:rsidRDefault="000A232D" w:rsidP="002E1AAA">
      <w:pPr>
        <w:rPr>
          <w:rFonts w:cs="Arial"/>
          <w:szCs w:val="20"/>
        </w:rPr>
      </w:pPr>
    </w:p>
    <w:p w14:paraId="57D4DEC9" w14:textId="77777777" w:rsidR="0053127A" w:rsidRPr="00382A62" w:rsidRDefault="0053127A" w:rsidP="006F1E62">
      <w:pPr>
        <w:rPr>
          <w:rFonts w:cs="Arial"/>
          <w:szCs w:val="20"/>
        </w:rPr>
      </w:pPr>
    </w:p>
    <w:p w14:paraId="7AF754F7" w14:textId="754C41BA" w:rsidR="00FB3D00" w:rsidRPr="00382A62" w:rsidRDefault="00FB3D00" w:rsidP="00327F09">
      <w:pPr>
        <w:pStyle w:val="Ttulo1"/>
        <w:rPr>
          <w:rFonts w:cs="Arial"/>
          <w:sz w:val="20"/>
          <w:szCs w:val="20"/>
        </w:rPr>
      </w:pPr>
    </w:p>
    <w:p w14:paraId="368929C0" w14:textId="77777777" w:rsidR="00BF0F90" w:rsidRPr="00382A62" w:rsidRDefault="00BF0F90" w:rsidP="00BF0F90">
      <w:pPr>
        <w:rPr>
          <w:rFonts w:cs="Arial"/>
          <w:szCs w:val="20"/>
        </w:rPr>
      </w:pPr>
    </w:p>
    <w:p w14:paraId="47138051" w14:textId="4F041106" w:rsidR="00715111" w:rsidRPr="00382A62" w:rsidRDefault="00715111" w:rsidP="00874A5D">
      <w:pPr>
        <w:spacing w:line="259" w:lineRule="auto"/>
        <w:jc w:val="left"/>
        <w:rPr>
          <w:rFonts w:cs="Arial"/>
          <w:szCs w:val="20"/>
        </w:rPr>
      </w:pPr>
    </w:p>
    <w:p w14:paraId="30FF1C09" w14:textId="77777777" w:rsidR="0071620C" w:rsidRPr="0099549C" w:rsidRDefault="0071620C" w:rsidP="0071620C">
      <w:pPr>
        <w:pStyle w:val="Ttulo1"/>
        <w:rPr>
          <w:sz w:val="44"/>
          <w:szCs w:val="44"/>
        </w:rPr>
      </w:pPr>
      <w:bookmarkStart w:id="40" w:name="_Toc131501063"/>
      <w:bookmarkStart w:id="41" w:name="_Toc131590363"/>
      <w:bookmarkStart w:id="42" w:name="_Toc169624622"/>
      <w:r w:rsidRPr="0099549C">
        <w:rPr>
          <w:sz w:val="44"/>
          <w:szCs w:val="44"/>
        </w:rPr>
        <w:t>Capítulo 2.</w:t>
      </w:r>
      <w:bookmarkEnd w:id="40"/>
      <w:bookmarkEnd w:id="41"/>
      <w:bookmarkEnd w:id="42"/>
    </w:p>
    <w:p w14:paraId="45E351C5" w14:textId="77777777" w:rsidR="0071620C" w:rsidRPr="0099549C" w:rsidRDefault="0071620C" w:rsidP="0071620C">
      <w:pPr>
        <w:pStyle w:val="Ttulo1"/>
        <w:rPr>
          <w:sz w:val="44"/>
          <w:szCs w:val="44"/>
        </w:rPr>
      </w:pPr>
      <w:bookmarkStart w:id="43" w:name="_Toc131501064"/>
      <w:bookmarkStart w:id="44" w:name="_Toc131590364"/>
      <w:bookmarkStart w:id="45" w:name="_Toc169624623"/>
      <w:r w:rsidRPr="0099549C">
        <w:rPr>
          <w:sz w:val="44"/>
          <w:szCs w:val="44"/>
        </w:rPr>
        <w:t>Información esencial</w:t>
      </w:r>
      <w:bookmarkEnd w:id="43"/>
      <w:bookmarkEnd w:id="44"/>
      <w:bookmarkEnd w:id="45"/>
    </w:p>
    <w:p w14:paraId="522E8DE6" w14:textId="77777777" w:rsidR="006B7DD0" w:rsidRPr="00ED6111" w:rsidRDefault="006B7DD0" w:rsidP="00874A5D">
      <w:pPr>
        <w:spacing w:line="259" w:lineRule="auto"/>
        <w:jc w:val="left"/>
        <w:rPr>
          <w:rFonts w:cs="Arial"/>
          <w:sz w:val="44"/>
          <w:szCs w:val="44"/>
        </w:rPr>
      </w:pPr>
    </w:p>
    <w:p w14:paraId="5F068EAA" w14:textId="77777777" w:rsidR="006B7DD0" w:rsidRPr="00ED6111" w:rsidRDefault="006B7DD0" w:rsidP="00874A5D">
      <w:pPr>
        <w:spacing w:line="259" w:lineRule="auto"/>
        <w:jc w:val="left"/>
        <w:rPr>
          <w:rFonts w:cs="Arial"/>
          <w:sz w:val="44"/>
          <w:szCs w:val="44"/>
        </w:rPr>
      </w:pPr>
    </w:p>
    <w:p w14:paraId="199BEEFF" w14:textId="77777777" w:rsidR="006B7DD0" w:rsidRDefault="006B7DD0" w:rsidP="00874A5D">
      <w:pPr>
        <w:spacing w:line="259" w:lineRule="auto"/>
        <w:jc w:val="left"/>
        <w:rPr>
          <w:rFonts w:cs="Arial"/>
          <w:szCs w:val="20"/>
        </w:rPr>
      </w:pPr>
    </w:p>
    <w:p w14:paraId="1102C3A2" w14:textId="77777777" w:rsidR="00D825C9" w:rsidRDefault="00D825C9" w:rsidP="00874A5D">
      <w:pPr>
        <w:spacing w:line="259" w:lineRule="auto"/>
        <w:jc w:val="left"/>
        <w:rPr>
          <w:rFonts w:cs="Arial"/>
          <w:szCs w:val="20"/>
        </w:rPr>
      </w:pPr>
    </w:p>
    <w:p w14:paraId="56CC14EE" w14:textId="77777777" w:rsidR="00D825C9" w:rsidRDefault="00D825C9" w:rsidP="00874A5D">
      <w:pPr>
        <w:spacing w:line="259" w:lineRule="auto"/>
        <w:jc w:val="left"/>
        <w:rPr>
          <w:rFonts w:cs="Arial"/>
          <w:szCs w:val="20"/>
        </w:rPr>
      </w:pPr>
    </w:p>
    <w:p w14:paraId="6D97ED68" w14:textId="77777777" w:rsidR="00D825C9" w:rsidRDefault="00D825C9" w:rsidP="00874A5D">
      <w:pPr>
        <w:spacing w:line="259" w:lineRule="auto"/>
        <w:jc w:val="left"/>
        <w:rPr>
          <w:rFonts w:cs="Arial"/>
          <w:szCs w:val="20"/>
        </w:rPr>
      </w:pPr>
    </w:p>
    <w:p w14:paraId="454A0738" w14:textId="77777777" w:rsidR="00D825C9" w:rsidRDefault="00D825C9" w:rsidP="00874A5D">
      <w:pPr>
        <w:spacing w:line="259" w:lineRule="auto"/>
        <w:jc w:val="left"/>
        <w:rPr>
          <w:rFonts w:cs="Arial"/>
          <w:szCs w:val="20"/>
        </w:rPr>
      </w:pPr>
    </w:p>
    <w:p w14:paraId="561FDD43" w14:textId="77777777" w:rsidR="00D825C9" w:rsidRDefault="00D825C9" w:rsidP="00874A5D">
      <w:pPr>
        <w:spacing w:line="259" w:lineRule="auto"/>
        <w:jc w:val="left"/>
        <w:rPr>
          <w:rFonts w:cs="Arial"/>
          <w:szCs w:val="20"/>
        </w:rPr>
      </w:pPr>
    </w:p>
    <w:p w14:paraId="58C54650" w14:textId="77777777" w:rsidR="00D825C9" w:rsidRDefault="00D825C9" w:rsidP="00874A5D">
      <w:pPr>
        <w:spacing w:line="259" w:lineRule="auto"/>
        <w:jc w:val="left"/>
        <w:rPr>
          <w:rFonts w:cs="Arial"/>
          <w:szCs w:val="20"/>
        </w:rPr>
      </w:pPr>
    </w:p>
    <w:p w14:paraId="3419DA45" w14:textId="77777777" w:rsidR="00D825C9" w:rsidRDefault="00D825C9" w:rsidP="00874A5D">
      <w:pPr>
        <w:spacing w:line="259" w:lineRule="auto"/>
        <w:jc w:val="left"/>
        <w:rPr>
          <w:rFonts w:cs="Arial"/>
          <w:szCs w:val="20"/>
        </w:rPr>
      </w:pPr>
    </w:p>
    <w:p w14:paraId="1A4F244F" w14:textId="77777777" w:rsidR="00D825C9" w:rsidRDefault="00D825C9" w:rsidP="00874A5D">
      <w:pPr>
        <w:spacing w:line="259" w:lineRule="auto"/>
        <w:jc w:val="left"/>
        <w:rPr>
          <w:rFonts w:cs="Arial"/>
          <w:szCs w:val="20"/>
        </w:rPr>
      </w:pPr>
    </w:p>
    <w:p w14:paraId="7243A0DF" w14:textId="77777777" w:rsidR="00D825C9" w:rsidRDefault="00D825C9" w:rsidP="00874A5D">
      <w:pPr>
        <w:spacing w:line="259" w:lineRule="auto"/>
        <w:jc w:val="left"/>
        <w:rPr>
          <w:rFonts w:cs="Arial"/>
          <w:szCs w:val="20"/>
        </w:rPr>
      </w:pPr>
    </w:p>
    <w:p w14:paraId="365F5B97" w14:textId="77777777" w:rsidR="00D825C9" w:rsidRDefault="00D825C9" w:rsidP="00874A5D">
      <w:pPr>
        <w:spacing w:line="259" w:lineRule="auto"/>
        <w:jc w:val="left"/>
        <w:rPr>
          <w:rFonts w:cs="Arial"/>
          <w:szCs w:val="20"/>
        </w:rPr>
      </w:pPr>
    </w:p>
    <w:p w14:paraId="27953897" w14:textId="77777777" w:rsidR="00D825C9" w:rsidRDefault="00D825C9" w:rsidP="00874A5D">
      <w:pPr>
        <w:spacing w:line="259" w:lineRule="auto"/>
        <w:jc w:val="left"/>
        <w:rPr>
          <w:rFonts w:cs="Arial"/>
          <w:szCs w:val="20"/>
        </w:rPr>
      </w:pPr>
    </w:p>
    <w:p w14:paraId="679E4BC4" w14:textId="77777777" w:rsidR="00D825C9" w:rsidRPr="00382A62" w:rsidRDefault="00D825C9" w:rsidP="00874A5D">
      <w:pPr>
        <w:spacing w:line="259" w:lineRule="auto"/>
        <w:jc w:val="left"/>
        <w:rPr>
          <w:rFonts w:cs="Arial"/>
          <w:szCs w:val="20"/>
        </w:rPr>
      </w:pPr>
    </w:p>
    <w:p w14:paraId="43D30303" w14:textId="77FA7FCD" w:rsidR="007605E6" w:rsidRPr="00382A62" w:rsidRDefault="007605E6" w:rsidP="007605E6">
      <w:pPr>
        <w:pStyle w:val="Ttulo2"/>
        <w:numPr>
          <w:ilvl w:val="0"/>
          <w:numId w:val="9"/>
        </w:numPr>
        <w:rPr>
          <w:rFonts w:cs="Arial"/>
          <w:sz w:val="20"/>
          <w:szCs w:val="20"/>
        </w:rPr>
      </w:pPr>
      <w:bookmarkStart w:id="46" w:name="_Toc131092866"/>
      <w:bookmarkStart w:id="47" w:name="_Toc131501065"/>
      <w:bookmarkStart w:id="48" w:name="_Toc169624624"/>
      <w:r w:rsidRPr="00382A62">
        <w:rPr>
          <w:rFonts w:cs="Arial"/>
          <w:sz w:val="20"/>
          <w:szCs w:val="20"/>
        </w:rPr>
        <w:lastRenderedPageBreak/>
        <w:t>Factores de riesgo que afectan a la emisión y a la empresa</w:t>
      </w:r>
      <w:bookmarkEnd w:id="46"/>
      <w:bookmarkEnd w:id="47"/>
      <w:bookmarkEnd w:id="48"/>
    </w:p>
    <w:p w14:paraId="11276103" w14:textId="77777777" w:rsidR="007605E6" w:rsidRPr="00382A62" w:rsidRDefault="007605E6" w:rsidP="007605E6">
      <w:pPr>
        <w:rPr>
          <w:rFonts w:cs="Arial"/>
          <w:szCs w:val="20"/>
        </w:rPr>
      </w:pPr>
      <w:r w:rsidRPr="00382A62">
        <w:rPr>
          <w:rFonts w:cs="Arial"/>
          <w:szCs w:val="20"/>
        </w:rPr>
        <w:t>Los factores de riesgo definen algunas situaciones, circunstancias o eventos que pueden suscitarse en la Compañía y reducir o limitar el rendimiento y liquidez de los valores objeto de la oferta pública y traducirse en pérdidas para el inversionista. Las siguientes anotaciones le servirán de orientación para evaluar el efecto que éstos podrían tener en su inversión.</w:t>
      </w:r>
    </w:p>
    <w:p w14:paraId="2EC1582E" w14:textId="77777777" w:rsidR="007605E6" w:rsidRPr="00382A62" w:rsidRDefault="007605E6" w:rsidP="007605E6">
      <w:pPr>
        <w:pStyle w:val="Ttulo3"/>
        <w:numPr>
          <w:ilvl w:val="1"/>
          <w:numId w:val="10"/>
        </w:numPr>
        <w:rPr>
          <w:rFonts w:cs="Arial"/>
          <w:sz w:val="20"/>
          <w:szCs w:val="20"/>
        </w:rPr>
      </w:pPr>
      <w:bookmarkStart w:id="49" w:name="_Toc131092867"/>
      <w:bookmarkStart w:id="50" w:name="_Toc131501066"/>
      <w:bookmarkStart w:id="51" w:name="_Toc169624625"/>
      <w:r w:rsidRPr="00382A62">
        <w:rPr>
          <w:rFonts w:cs="Arial"/>
          <w:sz w:val="20"/>
          <w:szCs w:val="20"/>
        </w:rPr>
        <w:t>Riesgos</w:t>
      </w:r>
      <w:bookmarkEnd w:id="49"/>
      <w:bookmarkEnd w:id="50"/>
      <w:bookmarkEnd w:id="51"/>
    </w:p>
    <w:p w14:paraId="4A609701" w14:textId="77777777" w:rsidR="007605E6" w:rsidRPr="00382A62" w:rsidRDefault="007605E6" w:rsidP="007605E6">
      <w:pPr>
        <w:pStyle w:val="Prrafodelista"/>
        <w:numPr>
          <w:ilvl w:val="0"/>
          <w:numId w:val="15"/>
        </w:numPr>
        <w:rPr>
          <w:rFonts w:cs="Arial"/>
          <w:b/>
          <w:bCs/>
          <w:szCs w:val="20"/>
        </w:rPr>
      </w:pPr>
      <w:r w:rsidRPr="00382A62">
        <w:rPr>
          <w:rFonts w:cs="Arial"/>
          <w:b/>
          <w:bCs/>
          <w:szCs w:val="20"/>
        </w:rPr>
        <w:t>Riesgos asociados a la empresa emisora.</w:t>
      </w:r>
    </w:p>
    <w:p w14:paraId="768DE756"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t>Riesgo del Negocio</w:t>
      </w:r>
    </w:p>
    <w:p w14:paraId="3CF0D69D" w14:textId="083F1143" w:rsidR="007605E6" w:rsidRPr="00382A62" w:rsidRDefault="007605E6" w:rsidP="007605E6">
      <w:pPr>
        <w:rPr>
          <w:rFonts w:cs="Arial"/>
          <w:szCs w:val="20"/>
        </w:rPr>
      </w:pPr>
      <w:r w:rsidRPr="00382A62">
        <w:rPr>
          <w:rFonts w:cs="Arial"/>
          <w:szCs w:val="20"/>
        </w:rPr>
        <w:t>Consiste en que, por razones económicas o naturales, los productos que elabora y comercializa la Compañía, así como los servicios que provee, no se vendan conforme a las proyecciones, causando un impacto en los ingresos esperados. Dicho riesgo depende de la posición competitiva que mantenga la Compañía en cada uno de los sectores en que participa (bebidas, alimentos e inmobiliario), regulaciones, restricciones impuestas por las autoridades, impacto logístico a la producción, distribución y venta de los productos, así como al poder de compra de los consumidores.</w:t>
      </w:r>
      <w:r w:rsidR="0098736F" w:rsidRPr="00382A62">
        <w:rPr>
          <w:rFonts w:cs="Arial"/>
          <w:szCs w:val="20"/>
        </w:rPr>
        <w:t xml:space="preserve"> En el caso del negocio inmobiliario y de las inversiones en subsidiarias, una apreciación de la moneda genera una disminución en los ingresos de la misma.</w:t>
      </w:r>
    </w:p>
    <w:p w14:paraId="7E660EFC"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t>Riesgos asociados a cambios en los patrones de consumo</w:t>
      </w:r>
    </w:p>
    <w:p w14:paraId="2C59E477" w14:textId="77777777" w:rsidR="007605E6" w:rsidRPr="00382A62" w:rsidRDefault="007605E6" w:rsidP="007605E6">
      <w:pPr>
        <w:rPr>
          <w:rFonts w:cs="Arial"/>
          <w:szCs w:val="20"/>
        </w:rPr>
      </w:pPr>
      <w:r w:rsidRPr="00382A62">
        <w:rPr>
          <w:rFonts w:cs="Arial"/>
          <w:szCs w:val="20"/>
        </w:rPr>
        <w:t>Existe la posibilidad de que los productos de la Compañía pierdan relevancia en el mercado nacional e internacional derivado de los cambios constantes en los hábitos de consumo.  Esta situación puede obligar a la compañía a realizar ajustes en sus operaciones y provocar una disminución en el volumen de ventas. Los cambios en los patrones de consumo de los productos que comercializa la empresa pueden tener un impacto negativo en los ingresos esperados y, por tanto, en las ganancias de los inversionistas.</w:t>
      </w:r>
    </w:p>
    <w:p w14:paraId="0F9E7A15"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t>Riesgo por modificaciones en la regulación aplicable a la actividad de la Empresa</w:t>
      </w:r>
    </w:p>
    <w:p w14:paraId="4DBE2ABB" w14:textId="77777777" w:rsidR="007605E6" w:rsidRPr="00382A62" w:rsidRDefault="007605E6" w:rsidP="007605E6">
      <w:pPr>
        <w:rPr>
          <w:rFonts w:cs="Arial"/>
          <w:szCs w:val="20"/>
        </w:rPr>
      </w:pPr>
      <w:r w:rsidRPr="00382A62">
        <w:rPr>
          <w:rFonts w:cs="Arial"/>
          <w:szCs w:val="20"/>
        </w:rPr>
        <w:t>FIFCO se desarrolla en los campos: industrial, comercial e inmobiliario. Lo anterior, implica que está sujeta a distintas regulaciones emitidas en: Costa Rica, Estados Unidos, México, Guatemala, El Salvador, Honduras, Nicaragua y Panamá. En el eventual caso de modificaciones en estas regulaciones, alguna de las actividades de la Compañía podría verse afectada, incidiendo en los resultados de la empresa y en los intereses de los accionistas.</w:t>
      </w:r>
    </w:p>
    <w:p w14:paraId="137A1D21"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t>Riesgo de competencia</w:t>
      </w:r>
    </w:p>
    <w:p w14:paraId="4EBC429F" w14:textId="48CF7594" w:rsidR="007605E6" w:rsidRPr="00382A62" w:rsidRDefault="007605E6" w:rsidP="007605E6">
      <w:pPr>
        <w:rPr>
          <w:rFonts w:cs="Arial"/>
          <w:szCs w:val="20"/>
        </w:rPr>
      </w:pPr>
      <w:r w:rsidRPr="00382A62">
        <w:rPr>
          <w:rFonts w:cs="Arial"/>
          <w:szCs w:val="20"/>
        </w:rPr>
        <w:t xml:space="preserve">La industria de bebidas pasa hoy en día por un constante movimiento que genera alianzas entre diferentes grupos </w:t>
      </w:r>
      <w:r w:rsidR="00143E31" w:rsidRPr="00382A62">
        <w:rPr>
          <w:rFonts w:cs="Arial"/>
          <w:szCs w:val="20"/>
        </w:rPr>
        <w:t xml:space="preserve">a nivel </w:t>
      </w:r>
      <w:r w:rsidRPr="00382A62">
        <w:rPr>
          <w:rFonts w:cs="Arial"/>
          <w:szCs w:val="20"/>
        </w:rPr>
        <w:t>mundial. En el caso de FIFCO, las recientes incorporaciones de competidores globales en el mercado centroamericano y estadounidense hacen que la Compañía sea susceptible a amenazas de esta naturaleza y que se materialicen en una pérdida de su participación en el mercado.</w:t>
      </w:r>
    </w:p>
    <w:p w14:paraId="1F7730C1" w14:textId="77777777" w:rsidR="0040247F" w:rsidRPr="00382A62" w:rsidRDefault="0040247F" w:rsidP="007605E6">
      <w:pPr>
        <w:rPr>
          <w:rFonts w:cs="Arial"/>
          <w:szCs w:val="20"/>
        </w:rPr>
      </w:pPr>
    </w:p>
    <w:p w14:paraId="3B6C6278"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lastRenderedPageBreak/>
        <w:t>Riesgo de continuidad del Negocio</w:t>
      </w:r>
    </w:p>
    <w:p w14:paraId="480A6D2F" w14:textId="77777777" w:rsidR="007605E6" w:rsidRPr="00382A62" w:rsidRDefault="007605E6" w:rsidP="007605E6">
      <w:pPr>
        <w:rPr>
          <w:rFonts w:cs="Arial"/>
          <w:szCs w:val="20"/>
        </w:rPr>
      </w:pPr>
      <w:bookmarkStart w:id="52" w:name="_Hlk96005674"/>
      <w:r w:rsidRPr="00382A62">
        <w:rPr>
          <w:rFonts w:cs="Arial"/>
          <w:szCs w:val="20"/>
        </w:rPr>
        <w:t xml:space="preserve">Las operaciones de la Compañía pueden verse suspendidas parcial o totalmente </w:t>
      </w:r>
      <w:bookmarkEnd w:id="52"/>
      <w:r w:rsidRPr="00382A62">
        <w:rPr>
          <w:rFonts w:cs="Arial"/>
          <w:szCs w:val="20"/>
        </w:rPr>
        <w:t>por eventos internos como: problemas con el suministro eléctrico, fallos en líneas de envasado, interrupciones en los sistemas informáticos, problemas en los sistemas de carga y descarga de camiones, falta de personal crítico, entre otros. También se pueden ver afectadas por eventos externos de alto impacto, tales como: desastres naturales, emergencias de salud, manifestaciones sociales, inhabilitación de las instalaciones, suspensión de servicios de tecnologías de información, o cualquier otro factor que afecten tanto a la Compañía como a los mercados que atiende, así como a sus principales clientes, tanto a nivel local como internacional. En caso de prolongarse la respuesta ante un escenario que afecte la continuidad normal de las operaciones, podría comprometerse la oportunidad en la atención de las obligaciones con los inversionistas.</w:t>
      </w:r>
    </w:p>
    <w:p w14:paraId="530B8AE0"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t>Riesgo operativo</w:t>
      </w:r>
    </w:p>
    <w:p w14:paraId="7CDB954E" w14:textId="77777777" w:rsidR="007605E6" w:rsidRPr="00382A62" w:rsidRDefault="007605E6" w:rsidP="007605E6">
      <w:pPr>
        <w:rPr>
          <w:rFonts w:cs="Arial"/>
          <w:szCs w:val="20"/>
        </w:rPr>
      </w:pPr>
      <w:r w:rsidRPr="00382A62">
        <w:rPr>
          <w:rFonts w:cs="Arial"/>
          <w:szCs w:val="20"/>
        </w:rPr>
        <w:t xml:space="preserve">La Compañía puede sufrir pérdidas de carácter financiero por situaciones derivadas de: errores humanos, definición o ejecución inadecuada de los procesos internos, errores en los sistemas de información y eventos externos.  </w:t>
      </w:r>
    </w:p>
    <w:p w14:paraId="0EFBBAB0" w14:textId="77777777" w:rsidR="007605E6" w:rsidRPr="00382A62" w:rsidRDefault="007605E6" w:rsidP="007605E6">
      <w:pPr>
        <w:pStyle w:val="Prrafodelista"/>
        <w:numPr>
          <w:ilvl w:val="0"/>
          <w:numId w:val="16"/>
        </w:numPr>
        <w:rPr>
          <w:rFonts w:cs="Arial"/>
          <w:b/>
          <w:bCs/>
          <w:szCs w:val="20"/>
        </w:rPr>
      </w:pPr>
      <w:bookmarkStart w:id="53" w:name="_Hlk96005618"/>
      <w:r w:rsidRPr="00382A62">
        <w:rPr>
          <w:rFonts w:cs="Arial"/>
          <w:b/>
          <w:bCs/>
          <w:szCs w:val="20"/>
        </w:rPr>
        <w:t>Riesgo de variaciones en los precios de las materias primas</w:t>
      </w:r>
    </w:p>
    <w:p w14:paraId="6A35B466" w14:textId="77777777" w:rsidR="007605E6" w:rsidRPr="00382A62" w:rsidRDefault="007605E6" w:rsidP="007605E6">
      <w:pPr>
        <w:rPr>
          <w:rFonts w:cs="Arial"/>
          <w:szCs w:val="20"/>
        </w:rPr>
      </w:pPr>
      <w:r w:rsidRPr="00382A62">
        <w:rPr>
          <w:rFonts w:cs="Arial"/>
          <w:szCs w:val="20"/>
        </w:rPr>
        <w:t xml:space="preserve">Por razones económicas o naturales, las materias primas que adquiere la Compañía podrían presentar incrementos en los precios, causando un impacto negativo en los ingresos esperados. </w:t>
      </w:r>
    </w:p>
    <w:bookmarkEnd w:id="53"/>
    <w:p w14:paraId="29568B51"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t>Riesgo de variaciones de tipo de cambio</w:t>
      </w:r>
    </w:p>
    <w:p w14:paraId="782B693B" w14:textId="77777777" w:rsidR="007605E6" w:rsidRPr="00382A62" w:rsidRDefault="007605E6" w:rsidP="007605E6">
      <w:pPr>
        <w:rPr>
          <w:rFonts w:cs="Arial"/>
          <w:szCs w:val="20"/>
        </w:rPr>
      </w:pPr>
      <w:r w:rsidRPr="00382A62">
        <w:rPr>
          <w:rFonts w:cs="Arial"/>
          <w:szCs w:val="20"/>
        </w:rPr>
        <w:t>Las subsidiarias de FIFCO en los diferentes países adquieren una parte de sus materias primas en el extranjero, en especial la malta y algunos concentrados. Al ser bienes importados, sus costos se ven afectados por la devaluación de las monedas locales.</w:t>
      </w:r>
    </w:p>
    <w:p w14:paraId="3470EF3A" w14:textId="77777777" w:rsidR="007605E6" w:rsidRPr="00382A62" w:rsidRDefault="007605E6" w:rsidP="007605E6">
      <w:pPr>
        <w:rPr>
          <w:rFonts w:cs="Arial"/>
          <w:szCs w:val="20"/>
        </w:rPr>
      </w:pPr>
      <w:r w:rsidRPr="00382A62">
        <w:rPr>
          <w:rFonts w:cs="Arial"/>
          <w:szCs w:val="20"/>
        </w:rPr>
        <w:t>En Costa Rica y Guatemala, la mayor parte de las compras de materias primas y material de empaque se efectúan en dólares estadounidenses, sea porque son importadas (ejemplos: malta, concentrados, frijoles, tomate, trigo, aluminio, entre otros) o bien, porque las compras a proveedores locales se negociaron en dicha moneda (ejemplos: vidrio, PET, corrugado, entre otros). En Estados Unidos, las compras de materias primas y material de empaque son efectuadas en dólares estadounidenses, moneda de curso legal en dicho país, con la única excepción de las importaciones de cerveza Labatt, las cuales se efectúan en dólares canadienses.</w:t>
      </w:r>
    </w:p>
    <w:p w14:paraId="6B964209" w14:textId="77777777" w:rsidR="007605E6" w:rsidRPr="00382A62" w:rsidRDefault="007605E6" w:rsidP="007605E6">
      <w:pPr>
        <w:rPr>
          <w:rFonts w:cs="Arial"/>
          <w:szCs w:val="20"/>
        </w:rPr>
      </w:pPr>
      <w:r w:rsidRPr="00382A62">
        <w:rPr>
          <w:rFonts w:cs="Arial"/>
          <w:szCs w:val="20"/>
        </w:rPr>
        <w:t>Tanto las compras efectuadas en dólares en Costa Rica y Guatemala, así como las compras efectuadas en dólares canadienses en los Estados Unidos se ven afectados por la devaluación y/o revaluación de dichas monedas.</w:t>
      </w:r>
    </w:p>
    <w:p w14:paraId="31BE6EA4" w14:textId="31302B7A" w:rsidR="007605E6" w:rsidRPr="00382A62" w:rsidRDefault="007605E6" w:rsidP="007605E6">
      <w:pPr>
        <w:rPr>
          <w:rFonts w:cs="Arial"/>
          <w:szCs w:val="20"/>
        </w:rPr>
      </w:pPr>
      <w:r w:rsidRPr="00382A62">
        <w:rPr>
          <w:rFonts w:cs="Arial"/>
          <w:szCs w:val="20"/>
        </w:rPr>
        <w:t xml:space="preserve">Adicionalmente, la Compañía mantiene deudas en dólares las cuales pueden verse afectadas por un incremento en el tipo de cambio. </w:t>
      </w:r>
    </w:p>
    <w:p w14:paraId="2F340BDF" w14:textId="77777777" w:rsidR="0040247F" w:rsidRPr="00382A62" w:rsidRDefault="0040247F" w:rsidP="007605E6">
      <w:pPr>
        <w:rPr>
          <w:rFonts w:cs="Arial"/>
          <w:szCs w:val="20"/>
        </w:rPr>
      </w:pPr>
    </w:p>
    <w:p w14:paraId="71A74D89"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lastRenderedPageBreak/>
        <w:t>Riesgo de variaciones en las tasas de interés</w:t>
      </w:r>
    </w:p>
    <w:p w14:paraId="3A56774F" w14:textId="77777777" w:rsidR="007605E6" w:rsidRPr="00382A62" w:rsidRDefault="007605E6" w:rsidP="007605E6">
      <w:pPr>
        <w:rPr>
          <w:rFonts w:cs="Arial"/>
          <w:szCs w:val="20"/>
        </w:rPr>
      </w:pPr>
      <w:r w:rsidRPr="00382A62">
        <w:rPr>
          <w:rFonts w:cs="Arial"/>
          <w:szCs w:val="20"/>
        </w:rPr>
        <w:t>FIFCO financia algunas de sus inversiones con emisiones de bonos o créditos bancarios. Las tasas de interés tienen una repercusión directa en el costo de los recursos de la empresa ante cualquier variación en el entorno macroeconómico donde se opera.</w:t>
      </w:r>
    </w:p>
    <w:p w14:paraId="222BD2F7"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t xml:space="preserve">Riesgo por ocurrencia de siniestros </w:t>
      </w:r>
    </w:p>
    <w:p w14:paraId="0649093A" w14:textId="77777777" w:rsidR="007605E6" w:rsidRPr="00382A62" w:rsidRDefault="007605E6" w:rsidP="007605E6">
      <w:pPr>
        <w:rPr>
          <w:rFonts w:cs="Arial"/>
          <w:szCs w:val="20"/>
        </w:rPr>
      </w:pPr>
      <w:r w:rsidRPr="00382A62">
        <w:rPr>
          <w:rFonts w:cs="Arial"/>
          <w:szCs w:val="20"/>
        </w:rPr>
        <w:t>En el eventual caso de que se diera la ocurrencia de un siniestro, podría presentarse un impacto negativo en los ingresos corrientes y en las utilidades de la Compañía, por el lapso que se requiera para activar nuevamente las operaciones.</w:t>
      </w:r>
    </w:p>
    <w:p w14:paraId="3AF3B217"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t>Costos de operación y construcción</w:t>
      </w:r>
    </w:p>
    <w:p w14:paraId="3203E2CA" w14:textId="32E75FF6" w:rsidR="007605E6" w:rsidRPr="00382A62" w:rsidRDefault="007605E6" w:rsidP="007605E6">
      <w:pPr>
        <w:rPr>
          <w:rFonts w:cs="Arial"/>
          <w:szCs w:val="20"/>
        </w:rPr>
      </w:pPr>
      <w:r w:rsidRPr="00382A62">
        <w:rPr>
          <w:rFonts w:cs="Arial"/>
          <w:szCs w:val="20"/>
        </w:rPr>
        <w:t xml:space="preserve">Los márgenes de operación y los resultados económicos del sector inmobiliario podrían verse afectados por incrementos en los costos relativos de la operación hotelera y la construcción de producto inmobiliario a nivel nacional. Lo anterior, se puede generar por variaciones en: el tipo de cambio, la inflación y tasas de interés. Adicionalmente, se puede generar por aumentos en los precios de las materias primas, insumos y costos de la mano de obra especializada para la industria hotelera </w:t>
      </w:r>
      <w:r w:rsidR="004B5FB9" w:rsidRPr="00382A62">
        <w:rPr>
          <w:rFonts w:cs="Arial"/>
          <w:szCs w:val="20"/>
        </w:rPr>
        <w:t>o</w:t>
      </w:r>
      <w:r w:rsidRPr="00382A62">
        <w:rPr>
          <w:rFonts w:cs="Arial"/>
          <w:szCs w:val="20"/>
        </w:rPr>
        <w:t xml:space="preserve"> para la construcción.</w:t>
      </w:r>
    </w:p>
    <w:p w14:paraId="5A202F54"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t>Contracción del sector turismo</w:t>
      </w:r>
    </w:p>
    <w:p w14:paraId="1FC4A274" w14:textId="77777777" w:rsidR="007605E6" w:rsidRPr="00382A62" w:rsidRDefault="007605E6" w:rsidP="007605E6">
      <w:pPr>
        <w:rPr>
          <w:rFonts w:cs="Arial"/>
          <w:szCs w:val="20"/>
        </w:rPr>
      </w:pPr>
      <w:r w:rsidRPr="00382A62">
        <w:rPr>
          <w:rFonts w:cs="Arial"/>
          <w:szCs w:val="20"/>
        </w:rPr>
        <w:t>Tanto la actividad hotelera como la venta de productos inmobiliarios sustentan su crecimiento en la movilización de turistas a la zona de Guanacaste, Costa Rica. Por ello, si se presentara una disminución en el flujo de turistas, se pueden afectar de forma adversa ambas actividades y, por ende, sus resultados económicos.</w:t>
      </w:r>
    </w:p>
    <w:p w14:paraId="5598F60F"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t>Riesgo Reputacional o de imagen</w:t>
      </w:r>
    </w:p>
    <w:p w14:paraId="682486F2" w14:textId="77777777" w:rsidR="007605E6" w:rsidRPr="00382A62" w:rsidRDefault="007605E6" w:rsidP="007605E6">
      <w:pPr>
        <w:rPr>
          <w:rFonts w:cs="Arial"/>
          <w:szCs w:val="20"/>
        </w:rPr>
      </w:pPr>
      <w:r w:rsidRPr="00382A62">
        <w:rPr>
          <w:rFonts w:cs="Arial"/>
          <w:szCs w:val="20"/>
        </w:rPr>
        <w:t>Este riesgo se refiere al impacto en la imagen o reputación de la Compañía derivado de: rumores, comunicaciones masivas negativas, manejo administrativo deficiente, conductas contrarias a la ética, opiniones negativas de clientes o situaciones legales que afecten la imagen de la entidad. Lo anterior, puede llevar a una disminución en el valor de la acción y en los ingresos, como respuesta a la disminución del reconocimiento que se tenía de la compañía.</w:t>
      </w:r>
    </w:p>
    <w:p w14:paraId="5C59E886" w14:textId="77777777" w:rsidR="007605E6" w:rsidRPr="00382A62" w:rsidRDefault="007605E6" w:rsidP="007605E6">
      <w:pPr>
        <w:pStyle w:val="Prrafodelista"/>
        <w:numPr>
          <w:ilvl w:val="0"/>
          <w:numId w:val="15"/>
        </w:numPr>
        <w:rPr>
          <w:rFonts w:cs="Arial"/>
          <w:b/>
          <w:bCs/>
          <w:szCs w:val="20"/>
        </w:rPr>
      </w:pPr>
      <w:r w:rsidRPr="00382A62">
        <w:rPr>
          <w:rFonts w:cs="Arial"/>
          <w:b/>
          <w:bCs/>
          <w:szCs w:val="20"/>
        </w:rPr>
        <w:t>Riesgos asociados a la emisión de acciones</w:t>
      </w:r>
    </w:p>
    <w:p w14:paraId="003A4B21" w14:textId="77777777" w:rsidR="007605E6" w:rsidRPr="00382A62" w:rsidRDefault="007605E6" w:rsidP="00147CF2">
      <w:pPr>
        <w:pStyle w:val="Prrafodelista"/>
        <w:numPr>
          <w:ilvl w:val="0"/>
          <w:numId w:val="40"/>
        </w:numPr>
        <w:rPr>
          <w:rFonts w:cs="Arial"/>
          <w:b/>
          <w:bCs/>
          <w:szCs w:val="20"/>
        </w:rPr>
      </w:pPr>
      <w:r w:rsidRPr="00382A62">
        <w:rPr>
          <w:rFonts w:cs="Arial"/>
          <w:b/>
          <w:bCs/>
          <w:szCs w:val="20"/>
        </w:rPr>
        <w:t>Riesgo de volatilidad en el precio</w:t>
      </w:r>
    </w:p>
    <w:p w14:paraId="5760DA6C" w14:textId="77777777" w:rsidR="007605E6" w:rsidRPr="00382A62" w:rsidRDefault="007605E6" w:rsidP="007605E6">
      <w:pPr>
        <w:rPr>
          <w:rFonts w:cs="Arial"/>
          <w:szCs w:val="20"/>
        </w:rPr>
      </w:pPr>
      <w:r w:rsidRPr="00382A62">
        <w:rPr>
          <w:rFonts w:cs="Arial"/>
          <w:szCs w:val="20"/>
        </w:rPr>
        <w:t>La falta de profundidad del mercado nacional puede ocasionar variaciones significativas en el precio cuando un inversionista hace oferta de venta o de compra de un número significativo de acciones. Lo anterior, se puede generar por: las variaciones en las expectativas del mercado, emisiones adicionales de acciones, “</w:t>
      </w:r>
      <w:r w:rsidRPr="00382A62">
        <w:rPr>
          <w:rFonts w:cs="Arial"/>
          <w:i/>
          <w:iCs/>
          <w:szCs w:val="20"/>
        </w:rPr>
        <w:t>split</w:t>
      </w:r>
      <w:r w:rsidRPr="00382A62">
        <w:rPr>
          <w:rFonts w:cs="Arial"/>
          <w:szCs w:val="20"/>
        </w:rPr>
        <w:t>” de acciones y distribución de dividendos.</w:t>
      </w:r>
    </w:p>
    <w:p w14:paraId="5D06E451" w14:textId="77777777" w:rsidR="0022157D" w:rsidRPr="00382A62" w:rsidRDefault="0022157D" w:rsidP="007605E6">
      <w:pPr>
        <w:rPr>
          <w:rFonts w:cs="Arial"/>
          <w:szCs w:val="20"/>
        </w:rPr>
      </w:pPr>
    </w:p>
    <w:p w14:paraId="08816A59" w14:textId="77777777" w:rsidR="007605E6" w:rsidRPr="00382A62" w:rsidRDefault="007605E6" w:rsidP="00147CF2">
      <w:pPr>
        <w:pStyle w:val="Prrafodelista"/>
        <w:numPr>
          <w:ilvl w:val="0"/>
          <w:numId w:val="40"/>
        </w:numPr>
        <w:rPr>
          <w:rFonts w:cs="Arial"/>
          <w:b/>
          <w:bCs/>
          <w:szCs w:val="20"/>
        </w:rPr>
      </w:pPr>
      <w:r w:rsidRPr="00382A62">
        <w:rPr>
          <w:rFonts w:cs="Arial"/>
          <w:b/>
          <w:bCs/>
          <w:szCs w:val="20"/>
        </w:rPr>
        <w:lastRenderedPageBreak/>
        <w:t>Riesgo de dilución</w:t>
      </w:r>
    </w:p>
    <w:p w14:paraId="67D995EC" w14:textId="77777777" w:rsidR="007605E6" w:rsidRPr="00382A62" w:rsidRDefault="007605E6" w:rsidP="007605E6">
      <w:pPr>
        <w:rPr>
          <w:rFonts w:cs="Arial"/>
          <w:szCs w:val="20"/>
        </w:rPr>
      </w:pPr>
      <w:r w:rsidRPr="00382A62">
        <w:rPr>
          <w:rFonts w:cs="Arial"/>
          <w:szCs w:val="20"/>
        </w:rPr>
        <w:t>La emisión de nuevas acciones comunes por parte de FIFCO, podrían afectar el porcentaje de participación de los accionistas si éste decidiera no participar, ya que, implicaría una dilución de su participación en el capital común de la empresa.</w:t>
      </w:r>
    </w:p>
    <w:p w14:paraId="2159646A" w14:textId="77777777" w:rsidR="007605E6" w:rsidRPr="00382A62" w:rsidRDefault="007605E6" w:rsidP="00147CF2">
      <w:pPr>
        <w:pStyle w:val="Prrafodelista"/>
        <w:numPr>
          <w:ilvl w:val="0"/>
          <w:numId w:val="40"/>
        </w:numPr>
        <w:rPr>
          <w:rFonts w:cs="Arial"/>
          <w:b/>
          <w:bCs/>
          <w:szCs w:val="20"/>
        </w:rPr>
      </w:pPr>
      <w:r w:rsidRPr="00382A62">
        <w:rPr>
          <w:rFonts w:cs="Arial"/>
          <w:b/>
          <w:bCs/>
          <w:szCs w:val="20"/>
        </w:rPr>
        <w:t>Riesgo de liquidez</w:t>
      </w:r>
    </w:p>
    <w:p w14:paraId="7D6DFCA3" w14:textId="77777777" w:rsidR="007605E6" w:rsidRPr="00382A62" w:rsidRDefault="007605E6" w:rsidP="007605E6">
      <w:pPr>
        <w:rPr>
          <w:rFonts w:cs="Arial"/>
          <w:szCs w:val="20"/>
        </w:rPr>
      </w:pPr>
      <w:r w:rsidRPr="00382A62">
        <w:rPr>
          <w:rFonts w:cs="Arial"/>
          <w:szCs w:val="20"/>
        </w:rPr>
        <w:t>Este riesgo se asocia a la posible dificultad del inversionista para liquidar sus acciones en un plazo determinado por falta de compradores o bajo volumen transado. Tal situación, puede conllevar a ajustes en el precio que podrían ocasionar que el inversionista reciba un monto menor al invertido o que no pueda liquidar su posición.</w:t>
      </w:r>
    </w:p>
    <w:p w14:paraId="7F81FA03" w14:textId="77777777" w:rsidR="007605E6" w:rsidRPr="00382A62" w:rsidRDefault="007605E6" w:rsidP="00147CF2">
      <w:pPr>
        <w:pStyle w:val="Prrafodelista"/>
        <w:numPr>
          <w:ilvl w:val="0"/>
          <w:numId w:val="40"/>
        </w:numPr>
        <w:rPr>
          <w:rFonts w:cs="Arial"/>
          <w:b/>
          <w:bCs/>
          <w:szCs w:val="20"/>
        </w:rPr>
      </w:pPr>
      <w:r w:rsidRPr="00382A62">
        <w:rPr>
          <w:rFonts w:cs="Arial"/>
          <w:b/>
          <w:bCs/>
          <w:szCs w:val="20"/>
        </w:rPr>
        <w:t>Riesgo de variación en el tratamiento fiscal de los dividendos</w:t>
      </w:r>
    </w:p>
    <w:p w14:paraId="38614E96" w14:textId="77777777" w:rsidR="007605E6" w:rsidRPr="00382A62" w:rsidRDefault="007605E6" w:rsidP="007605E6">
      <w:pPr>
        <w:rPr>
          <w:rFonts w:cs="Arial"/>
          <w:szCs w:val="20"/>
        </w:rPr>
      </w:pPr>
      <w:r w:rsidRPr="00382A62">
        <w:rPr>
          <w:rFonts w:cs="Arial"/>
          <w:szCs w:val="20"/>
        </w:rPr>
        <w:t>El tratamiento fiscal vigente para los ingresos por dividendos (impuesto de renta) puede ser modificado por la Administración Tributaria costarricense, motivo por el cual se podrían ver afectados los ingresos netos del inversionista.</w:t>
      </w:r>
    </w:p>
    <w:p w14:paraId="08108FF6" w14:textId="77777777" w:rsidR="007605E6" w:rsidRPr="00382A62" w:rsidRDefault="007605E6" w:rsidP="00147CF2">
      <w:pPr>
        <w:pStyle w:val="Prrafodelista"/>
        <w:numPr>
          <w:ilvl w:val="0"/>
          <w:numId w:val="40"/>
        </w:numPr>
        <w:rPr>
          <w:rFonts w:cs="Arial"/>
          <w:b/>
          <w:bCs/>
          <w:szCs w:val="20"/>
        </w:rPr>
      </w:pPr>
      <w:r w:rsidRPr="00382A62">
        <w:rPr>
          <w:rFonts w:cs="Arial"/>
          <w:b/>
          <w:bCs/>
          <w:szCs w:val="20"/>
        </w:rPr>
        <w:t>Riesgos por la discrecionalidad para decretar dividendos</w:t>
      </w:r>
    </w:p>
    <w:p w14:paraId="1644711A" w14:textId="2E077083" w:rsidR="007605E6" w:rsidRDefault="007605E6" w:rsidP="007605E6">
      <w:pPr>
        <w:rPr>
          <w:rFonts w:cs="Arial"/>
          <w:szCs w:val="20"/>
        </w:rPr>
      </w:pPr>
      <w:r w:rsidRPr="00382A62">
        <w:rPr>
          <w:rFonts w:cs="Arial"/>
          <w:szCs w:val="20"/>
        </w:rPr>
        <w:t>La Asamblea General Ordinaria de Accionistas tiene la discrecionalidad de decretar los dividendos que se pagarán en el período. Normalmente, la ejecución de este pago se ha delegado en la Junta Directiva, la cual, acorde al flujo de efectivo, procede de forma trimestral.</w:t>
      </w:r>
    </w:p>
    <w:p w14:paraId="3E0E97A9" w14:textId="77777777" w:rsidR="00FC6873" w:rsidRPr="00382A62" w:rsidRDefault="00FC6873" w:rsidP="007605E6">
      <w:pPr>
        <w:rPr>
          <w:rFonts w:cs="Arial"/>
          <w:szCs w:val="20"/>
        </w:rPr>
      </w:pPr>
    </w:p>
    <w:p w14:paraId="5AB3AFF6" w14:textId="77777777" w:rsidR="007605E6" w:rsidRPr="00382A62" w:rsidRDefault="007605E6" w:rsidP="007605E6">
      <w:pPr>
        <w:pStyle w:val="Prrafodelista"/>
        <w:numPr>
          <w:ilvl w:val="0"/>
          <w:numId w:val="15"/>
        </w:numPr>
        <w:rPr>
          <w:rFonts w:cs="Arial"/>
          <w:b/>
          <w:bCs/>
          <w:szCs w:val="20"/>
        </w:rPr>
      </w:pPr>
      <w:r w:rsidRPr="00382A62">
        <w:rPr>
          <w:rFonts w:cs="Arial"/>
          <w:b/>
          <w:bCs/>
          <w:szCs w:val="20"/>
        </w:rPr>
        <w:t>Riesgos asociados a las emisiones de deuda</w:t>
      </w:r>
    </w:p>
    <w:p w14:paraId="3A724F14" w14:textId="77777777" w:rsidR="007605E6" w:rsidRPr="00382A62" w:rsidRDefault="007605E6" w:rsidP="00147CF2">
      <w:pPr>
        <w:pStyle w:val="Prrafodelista"/>
        <w:numPr>
          <w:ilvl w:val="0"/>
          <w:numId w:val="41"/>
        </w:numPr>
        <w:rPr>
          <w:rFonts w:cs="Arial"/>
          <w:b/>
          <w:bCs/>
          <w:szCs w:val="20"/>
        </w:rPr>
      </w:pPr>
      <w:r w:rsidRPr="00382A62">
        <w:rPr>
          <w:rFonts w:cs="Arial"/>
          <w:b/>
          <w:bCs/>
          <w:szCs w:val="20"/>
        </w:rPr>
        <w:t>Riesgo de liquidez</w:t>
      </w:r>
    </w:p>
    <w:p w14:paraId="4E507C85" w14:textId="0779B0A9" w:rsidR="007605E6" w:rsidRPr="00382A62" w:rsidRDefault="007605E6" w:rsidP="007605E6">
      <w:pPr>
        <w:rPr>
          <w:rFonts w:cs="Arial"/>
          <w:szCs w:val="20"/>
        </w:rPr>
      </w:pPr>
      <w:r w:rsidRPr="00382A62">
        <w:rPr>
          <w:rFonts w:cs="Arial"/>
          <w:szCs w:val="20"/>
        </w:rPr>
        <w:t xml:space="preserve">El riesgo de liquidez se refiere a la posible dificultad del inversionista para convertir los títulos valores en efectivo con la prontitud esperada por limitaciones del mercado. Tal situación, puede generar ajustes en el precio y en los costos de transacción para cerrar una operación. Esto podría ocasionar que el inversionista reciba un monto menor al invertido </w:t>
      </w:r>
      <w:r w:rsidR="004B5FB9" w:rsidRPr="00382A62">
        <w:rPr>
          <w:rFonts w:cs="Arial"/>
          <w:szCs w:val="20"/>
        </w:rPr>
        <w:t>o</w:t>
      </w:r>
      <w:r w:rsidRPr="00382A62">
        <w:rPr>
          <w:rFonts w:cs="Arial"/>
          <w:szCs w:val="20"/>
        </w:rPr>
        <w:t xml:space="preserve"> que no pueda liquidar su inversión.</w:t>
      </w:r>
    </w:p>
    <w:p w14:paraId="00C5D462" w14:textId="77777777" w:rsidR="007605E6" w:rsidRPr="00382A62" w:rsidRDefault="007605E6" w:rsidP="00147CF2">
      <w:pPr>
        <w:pStyle w:val="Prrafodelista"/>
        <w:numPr>
          <w:ilvl w:val="0"/>
          <w:numId w:val="41"/>
        </w:numPr>
        <w:rPr>
          <w:rFonts w:cs="Arial"/>
          <w:b/>
          <w:bCs/>
          <w:szCs w:val="20"/>
        </w:rPr>
      </w:pPr>
      <w:r w:rsidRPr="00382A62">
        <w:rPr>
          <w:rFonts w:cs="Arial"/>
          <w:b/>
          <w:bCs/>
          <w:szCs w:val="20"/>
        </w:rPr>
        <w:t>Riesgo de volatilidad en el precio</w:t>
      </w:r>
    </w:p>
    <w:p w14:paraId="407173D1" w14:textId="77777777" w:rsidR="007605E6" w:rsidRPr="00382A62" w:rsidRDefault="007605E6" w:rsidP="007605E6">
      <w:pPr>
        <w:rPr>
          <w:rFonts w:cs="Arial"/>
          <w:szCs w:val="20"/>
        </w:rPr>
      </w:pPr>
      <w:r w:rsidRPr="00382A62">
        <w:rPr>
          <w:rFonts w:cs="Arial"/>
          <w:szCs w:val="20"/>
        </w:rPr>
        <w:t>La falta de profundidad del mercado nacional puede ocasionar variaciones significativas en el precio de los bonos:  Por ello, un inversionista podría recibir un monto inferior al que invirtió inicialmente en los instrumentos de deuda de la Compañía.</w:t>
      </w:r>
    </w:p>
    <w:p w14:paraId="5B74E5F4" w14:textId="77777777" w:rsidR="007605E6" w:rsidRPr="00382A62" w:rsidRDefault="007605E6" w:rsidP="00147CF2">
      <w:pPr>
        <w:pStyle w:val="Prrafodelista"/>
        <w:numPr>
          <w:ilvl w:val="0"/>
          <w:numId w:val="41"/>
        </w:numPr>
        <w:rPr>
          <w:rFonts w:cs="Arial"/>
          <w:b/>
          <w:bCs/>
          <w:szCs w:val="20"/>
        </w:rPr>
      </w:pPr>
      <w:r w:rsidRPr="00382A62">
        <w:rPr>
          <w:rFonts w:cs="Arial"/>
          <w:b/>
          <w:bCs/>
          <w:szCs w:val="20"/>
        </w:rPr>
        <w:t>Riesgo de desinscripción</w:t>
      </w:r>
    </w:p>
    <w:p w14:paraId="2EA69C75" w14:textId="77777777" w:rsidR="007605E6" w:rsidRPr="00382A62" w:rsidRDefault="007605E6" w:rsidP="007605E6">
      <w:pPr>
        <w:rPr>
          <w:rFonts w:cs="Arial"/>
          <w:szCs w:val="20"/>
        </w:rPr>
      </w:pPr>
      <w:r w:rsidRPr="00382A62">
        <w:rPr>
          <w:rFonts w:cs="Arial"/>
          <w:szCs w:val="20"/>
        </w:rPr>
        <w:t xml:space="preserve">Este riesgo se refiere a la posibilidad de que FIFCO tomara la decisión de desinscribirse como emisor de oferta pública de valores. En este caso, los inversionistas no podrían negociar los títulos de la Compañía por medio de la Bolsa Nacional de Valores y no contarían con información financiera periódica regulada. </w:t>
      </w:r>
    </w:p>
    <w:p w14:paraId="48CCEDAD" w14:textId="77777777" w:rsidR="007605E6" w:rsidRPr="00382A62" w:rsidRDefault="007605E6" w:rsidP="007605E6">
      <w:pPr>
        <w:rPr>
          <w:rFonts w:cs="Arial"/>
          <w:szCs w:val="20"/>
        </w:rPr>
      </w:pPr>
      <w:r w:rsidRPr="00382A62">
        <w:rPr>
          <w:rFonts w:cs="Arial"/>
          <w:szCs w:val="20"/>
        </w:rPr>
        <w:lastRenderedPageBreak/>
        <w:t>Para que la empresa se pueda desinscribir, es necesario que realice una serie de requisitos previstos por el Reglamento de Oferta Pública y que estén a satisfacción de la Superintendencia General de Valores.</w:t>
      </w:r>
    </w:p>
    <w:p w14:paraId="78C6D006" w14:textId="77777777" w:rsidR="007605E6" w:rsidRPr="00382A62" w:rsidRDefault="007605E6" w:rsidP="00147CF2">
      <w:pPr>
        <w:pStyle w:val="Prrafodelista"/>
        <w:numPr>
          <w:ilvl w:val="0"/>
          <w:numId w:val="41"/>
        </w:numPr>
        <w:rPr>
          <w:rFonts w:cs="Arial"/>
          <w:b/>
          <w:bCs/>
          <w:szCs w:val="20"/>
        </w:rPr>
      </w:pPr>
      <w:r w:rsidRPr="00382A62">
        <w:rPr>
          <w:rFonts w:cs="Arial"/>
          <w:b/>
          <w:bCs/>
          <w:szCs w:val="20"/>
        </w:rPr>
        <w:t>Riesgo de cesación de pagos de parte del emisor</w:t>
      </w:r>
    </w:p>
    <w:p w14:paraId="7E276FA3" w14:textId="77777777" w:rsidR="007605E6" w:rsidRPr="00382A62" w:rsidRDefault="007605E6" w:rsidP="007605E6">
      <w:pPr>
        <w:rPr>
          <w:rFonts w:cs="Arial"/>
          <w:szCs w:val="20"/>
        </w:rPr>
      </w:pPr>
      <w:r w:rsidRPr="00382A62">
        <w:rPr>
          <w:rFonts w:cs="Arial"/>
          <w:szCs w:val="20"/>
        </w:rPr>
        <w:t xml:space="preserve">Este riesgo se refiere a la posibilidad de que la Compañía no cuente con los recursos financieros necesarios para cumplir con sus obligaciones (incluido pago del principal e intereses sobre los valores emitidos). Lo anterior, podría ocasionar una disminución en el valor de mercado de los títulos y dificultades para venderlos en el mercado secundario. </w:t>
      </w:r>
    </w:p>
    <w:p w14:paraId="49F2AAFD" w14:textId="77777777" w:rsidR="007605E6" w:rsidRPr="00382A62" w:rsidRDefault="007605E6" w:rsidP="00147CF2">
      <w:pPr>
        <w:pStyle w:val="Prrafodelista"/>
        <w:numPr>
          <w:ilvl w:val="0"/>
          <w:numId w:val="41"/>
        </w:numPr>
        <w:rPr>
          <w:rFonts w:cs="Arial"/>
          <w:b/>
          <w:bCs/>
          <w:szCs w:val="20"/>
        </w:rPr>
      </w:pPr>
      <w:r w:rsidRPr="00382A62">
        <w:rPr>
          <w:rFonts w:cs="Arial"/>
          <w:b/>
          <w:bCs/>
          <w:szCs w:val="20"/>
        </w:rPr>
        <w:t>Riesgo de variación en el tratamiento fiscal de los intereses</w:t>
      </w:r>
    </w:p>
    <w:p w14:paraId="7D967F9A" w14:textId="77777777" w:rsidR="007605E6" w:rsidRPr="00382A62" w:rsidRDefault="007605E6" w:rsidP="007605E6">
      <w:pPr>
        <w:rPr>
          <w:rFonts w:cs="Arial"/>
          <w:szCs w:val="20"/>
        </w:rPr>
      </w:pPr>
      <w:r w:rsidRPr="00382A62">
        <w:rPr>
          <w:rFonts w:cs="Arial"/>
          <w:szCs w:val="20"/>
        </w:rPr>
        <w:t>El tratamiento fiscal vigente para los ingresos por intereses sobre bonos puede ser modificado por la Administración Tributaria costarricense, motivo por el cual se podrían ver afectados los ingresos netos del inversionista.</w:t>
      </w:r>
    </w:p>
    <w:p w14:paraId="11AA3308" w14:textId="77777777" w:rsidR="007605E6" w:rsidRPr="00382A62" w:rsidRDefault="007605E6" w:rsidP="00147CF2">
      <w:pPr>
        <w:pStyle w:val="Prrafodelista"/>
        <w:numPr>
          <w:ilvl w:val="0"/>
          <w:numId w:val="41"/>
        </w:numPr>
        <w:rPr>
          <w:rFonts w:cs="Arial"/>
          <w:b/>
          <w:bCs/>
          <w:szCs w:val="20"/>
        </w:rPr>
      </w:pPr>
      <w:r w:rsidRPr="00382A62">
        <w:rPr>
          <w:rFonts w:cs="Arial"/>
          <w:b/>
          <w:bCs/>
          <w:szCs w:val="20"/>
        </w:rPr>
        <w:t>Riesgo por cambios en la metodología de cálculo de las tasas de interés de referencia</w:t>
      </w:r>
    </w:p>
    <w:p w14:paraId="49746597" w14:textId="77777777" w:rsidR="007605E6" w:rsidRDefault="007605E6" w:rsidP="007605E6">
      <w:pPr>
        <w:rPr>
          <w:rFonts w:cs="Arial"/>
          <w:szCs w:val="20"/>
        </w:rPr>
      </w:pPr>
      <w:r w:rsidRPr="00382A62">
        <w:rPr>
          <w:rFonts w:cs="Arial"/>
          <w:szCs w:val="20"/>
        </w:rPr>
        <w:t>Este riesgo afecta a las emisiones con tasa variable.  Surge ante inconvenientes que pueda tener el emisor para calcular la tasa en los términos pactados por no tener acceso a la información de la tasa de referencia en el lugar de publicación oficial el cese de su cálculo por parte de la entidad responsable ó la eventualidad de que no existan datos para calcular la tasa en un plazo específico. En caso de materializarse este riesgo, el cálculo del rendimiento a recibir por parte del inversionista para ese y futuros períodos, podría diferir respecto a la metodología y condiciones vigentes al momento de realizar la inversión.</w:t>
      </w:r>
    </w:p>
    <w:p w14:paraId="116A27BA" w14:textId="77777777" w:rsidR="007605E6" w:rsidRPr="00382A62" w:rsidRDefault="007605E6" w:rsidP="007605E6">
      <w:pPr>
        <w:pStyle w:val="Ttulo3"/>
        <w:numPr>
          <w:ilvl w:val="1"/>
          <w:numId w:val="10"/>
        </w:numPr>
        <w:rPr>
          <w:rFonts w:cs="Arial"/>
          <w:sz w:val="20"/>
          <w:szCs w:val="20"/>
        </w:rPr>
      </w:pPr>
      <w:bookmarkStart w:id="54" w:name="_Toc131092868"/>
      <w:bookmarkStart w:id="55" w:name="_Toc131501067"/>
      <w:bookmarkStart w:id="56" w:name="_Toc169624626"/>
      <w:r w:rsidRPr="00382A62">
        <w:rPr>
          <w:rFonts w:cs="Arial"/>
          <w:sz w:val="20"/>
          <w:szCs w:val="20"/>
        </w:rPr>
        <w:t>Políticas de reducción de riesgo</w:t>
      </w:r>
      <w:bookmarkEnd w:id="54"/>
      <w:bookmarkEnd w:id="55"/>
      <w:bookmarkEnd w:id="56"/>
    </w:p>
    <w:p w14:paraId="3082C431" w14:textId="608B7EB3" w:rsidR="007605E6" w:rsidRPr="00382A62" w:rsidRDefault="007605E6" w:rsidP="007605E6">
      <w:pPr>
        <w:rPr>
          <w:rFonts w:cs="Arial"/>
          <w:szCs w:val="20"/>
        </w:rPr>
      </w:pPr>
      <w:r w:rsidRPr="00382A62">
        <w:rPr>
          <w:rFonts w:cs="Arial"/>
          <w:szCs w:val="20"/>
        </w:rPr>
        <w:t>A pesar de la introducción en Costa Rica de marcas de cerveza provenientes de U.S.A., México, Suramérica y Europa, la solidez y arraigo de las marcas, así como la amplitud y atractiv</w:t>
      </w:r>
      <w:r w:rsidR="00AB3C23" w:rsidRPr="00382A62">
        <w:rPr>
          <w:rFonts w:cs="Arial"/>
          <w:szCs w:val="20"/>
        </w:rPr>
        <w:t>o</w:t>
      </w:r>
      <w:r w:rsidRPr="00382A62">
        <w:rPr>
          <w:rFonts w:cs="Arial"/>
          <w:szCs w:val="20"/>
        </w:rPr>
        <w:t xml:space="preserve"> del portafolio hace que el reconocimiento y fidelidad de los consumidores se convierta en una gran barrera de entrada para cualquier competidor, teniendo una participación del 88,6%</w:t>
      </w:r>
      <w:r w:rsidRPr="00382A62">
        <w:rPr>
          <w:rStyle w:val="Refdenotaalpie"/>
          <w:rFonts w:cs="Arial"/>
          <w:szCs w:val="20"/>
        </w:rPr>
        <w:footnoteReference w:id="2"/>
      </w:r>
      <w:r w:rsidRPr="00382A62">
        <w:rPr>
          <w:rFonts w:cs="Arial"/>
          <w:szCs w:val="20"/>
        </w:rPr>
        <w:t xml:space="preserve"> en el mercado cervecero de Costa Rica.  Además, la alta calidad de los productos de FIFCO, la búsqueda constante de la eficiencia y reducción de costos en todos los procesos productivos y de comercialización, permite mantener una posición competitiva. </w:t>
      </w:r>
    </w:p>
    <w:p w14:paraId="23AD596E" w14:textId="639A2CAD" w:rsidR="007605E6" w:rsidRPr="00382A62" w:rsidRDefault="00020154" w:rsidP="007605E6">
      <w:pPr>
        <w:rPr>
          <w:rFonts w:cs="Arial"/>
          <w:szCs w:val="20"/>
        </w:rPr>
      </w:pPr>
      <w:r w:rsidRPr="00382A62">
        <w:rPr>
          <w:rFonts w:cs="Arial"/>
          <w:szCs w:val="20"/>
        </w:rPr>
        <w:t xml:space="preserve">La Compañía cuenta </w:t>
      </w:r>
      <w:r w:rsidR="007605E6" w:rsidRPr="00382A62">
        <w:rPr>
          <w:rFonts w:cs="Arial"/>
          <w:szCs w:val="20"/>
        </w:rPr>
        <w:t>con un moderno sistema de silos con capacidad de almacenar grandes cantidades de dicha materia prima a granel, permitiendo comprar en épocas en que el precio se encuentra bajo, además de aprovechar reducciones por volumen en los costos de transporte.</w:t>
      </w:r>
    </w:p>
    <w:p w14:paraId="4C4C8B54" w14:textId="45E83833" w:rsidR="007605E6" w:rsidRPr="00382A62" w:rsidRDefault="007605E6" w:rsidP="007605E6">
      <w:pPr>
        <w:rPr>
          <w:rFonts w:cs="Arial"/>
          <w:szCs w:val="20"/>
        </w:rPr>
      </w:pPr>
      <w:r w:rsidRPr="00382A62">
        <w:rPr>
          <w:rFonts w:cs="Arial"/>
          <w:szCs w:val="20"/>
        </w:rPr>
        <w:t>Para proteger la continuidad de la operación, la Compañía</w:t>
      </w:r>
      <w:r w:rsidR="00C10C67" w:rsidRPr="00382A62">
        <w:rPr>
          <w:rFonts w:cs="Arial"/>
          <w:szCs w:val="20"/>
        </w:rPr>
        <w:t xml:space="preserve"> obtuvo la certificación ISO 22301 por INTECO-NYCE que acredita que FIFCO cuenta con un Sistema de Gestión que le permite responder oportunamente ante eventos que atenten contra la continuidad de las operaciones en el proceso de manufactura de cerveza; como lo son la ausencia de personal clave, fallo de equipos críticos, caída de sistemas, desbasto de materias primas, entre otros.</w:t>
      </w:r>
      <w:r w:rsidRPr="00382A62">
        <w:rPr>
          <w:rFonts w:cs="Arial"/>
          <w:szCs w:val="20"/>
        </w:rPr>
        <w:t xml:space="preserve"> </w:t>
      </w:r>
    </w:p>
    <w:p w14:paraId="2F8A0276" w14:textId="576201C9" w:rsidR="007605E6" w:rsidRPr="00382A62" w:rsidRDefault="00F80BE1" w:rsidP="007605E6">
      <w:pPr>
        <w:rPr>
          <w:rFonts w:cs="Arial"/>
          <w:szCs w:val="20"/>
        </w:rPr>
      </w:pPr>
      <w:r w:rsidRPr="00382A62">
        <w:rPr>
          <w:rFonts w:cs="Arial"/>
          <w:szCs w:val="20"/>
        </w:rPr>
        <w:lastRenderedPageBreak/>
        <w:t>Además, la Compañía cuenta Lineamientos de Gestión de Riesgos, los cuales establecen los pasos y las pautas necesarias para la identificación, análisis, evaluación y tratamiento de los riesgos, acorde con lo establecido en los Estándares INTE/ISO 31000:2018 y COSO ERM 2017INTE/ISO 31000:20180 y el cual es de acatamiento obligatorio para toda La Compañía.</w:t>
      </w:r>
    </w:p>
    <w:p w14:paraId="5C8D46C0" w14:textId="77777777" w:rsidR="007605E6" w:rsidRPr="00382A62" w:rsidRDefault="007605E6" w:rsidP="007605E6">
      <w:pPr>
        <w:rPr>
          <w:rFonts w:cs="Arial"/>
          <w:szCs w:val="20"/>
        </w:rPr>
      </w:pPr>
      <w:r w:rsidRPr="00382A62">
        <w:rPr>
          <w:rFonts w:cs="Arial"/>
          <w:szCs w:val="20"/>
        </w:rPr>
        <w:t>La Compañía, convencida de la importancia de administrar el riesgo, se encuentra protegida con pólizas de seguro las cuales se describen a continuación:</w:t>
      </w:r>
    </w:p>
    <w:p w14:paraId="32E02471" w14:textId="488168C1" w:rsidR="007605E6" w:rsidRPr="00382A62" w:rsidRDefault="007605E6" w:rsidP="007605E6">
      <w:pPr>
        <w:pStyle w:val="Descripcin"/>
        <w:rPr>
          <w:rFonts w:cs="Arial"/>
          <w:szCs w:val="20"/>
        </w:rPr>
      </w:pPr>
      <w:bookmarkStart w:id="57" w:name="_Toc169624702"/>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6</w:t>
      </w:r>
      <w:r w:rsidR="00423C23" w:rsidRPr="00382A62">
        <w:rPr>
          <w:rFonts w:cs="Arial"/>
          <w:noProof/>
          <w:szCs w:val="20"/>
        </w:rPr>
        <w:fldChar w:fldCharType="end"/>
      </w:r>
      <w:r w:rsidRPr="00382A62">
        <w:rPr>
          <w:rFonts w:cs="Arial"/>
          <w:szCs w:val="20"/>
        </w:rPr>
        <w:t xml:space="preserve"> - Detalle de las pólizas de seguros, así como los montos asegurados – Costa Rica</w:t>
      </w:r>
      <w:bookmarkEnd w:id="57"/>
    </w:p>
    <w:tbl>
      <w:tblPr>
        <w:tblW w:w="8696" w:type="dxa"/>
        <w:jc w:val="center"/>
        <w:tblCellMar>
          <w:left w:w="70" w:type="dxa"/>
          <w:right w:w="70" w:type="dxa"/>
        </w:tblCellMar>
        <w:tblLook w:val="04A0" w:firstRow="1" w:lastRow="0" w:firstColumn="1" w:lastColumn="0" w:noHBand="0" w:noVBand="1"/>
      </w:tblPr>
      <w:tblGrid>
        <w:gridCol w:w="1619"/>
        <w:gridCol w:w="5528"/>
        <w:gridCol w:w="1549"/>
      </w:tblGrid>
      <w:tr w:rsidR="005C68F1" w:rsidRPr="00382A62" w14:paraId="563B2443" w14:textId="77777777" w:rsidTr="004F0C72">
        <w:trPr>
          <w:trHeight w:val="315"/>
          <w:jc w:val="center"/>
        </w:trPr>
        <w:tc>
          <w:tcPr>
            <w:tcW w:w="1619" w:type="dxa"/>
            <w:vMerge w:val="restart"/>
            <w:tcBorders>
              <w:top w:val="single" w:sz="8" w:space="0" w:color="A6A6A6"/>
              <w:left w:val="single" w:sz="8" w:space="0" w:color="A6A6A6"/>
              <w:bottom w:val="single" w:sz="8" w:space="0" w:color="A6A6A6"/>
              <w:right w:val="single" w:sz="8" w:space="0" w:color="A6A6A6"/>
            </w:tcBorders>
            <w:shd w:val="clear" w:color="auto" w:fill="F2F2F2" w:themeFill="background1" w:themeFillShade="F2"/>
            <w:noWrap/>
            <w:vAlign w:val="center"/>
            <w:hideMark/>
          </w:tcPr>
          <w:p w14:paraId="5BE2E415"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Tipo de Póliza</w:t>
            </w:r>
          </w:p>
        </w:tc>
        <w:tc>
          <w:tcPr>
            <w:tcW w:w="5528" w:type="dxa"/>
            <w:vMerge w:val="restart"/>
            <w:tcBorders>
              <w:top w:val="single" w:sz="8" w:space="0" w:color="A6A6A6"/>
              <w:left w:val="single" w:sz="8" w:space="0" w:color="A6A6A6"/>
              <w:bottom w:val="single" w:sz="8" w:space="0" w:color="A6A6A6"/>
              <w:right w:val="single" w:sz="8" w:space="0" w:color="A6A6A6"/>
            </w:tcBorders>
            <w:shd w:val="clear" w:color="auto" w:fill="F2F2F2" w:themeFill="background1" w:themeFillShade="F2"/>
            <w:noWrap/>
            <w:vAlign w:val="center"/>
            <w:hideMark/>
          </w:tcPr>
          <w:p w14:paraId="2A54DC16"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Bienes Asegurados</w:t>
            </w:r>
          </w:p>
        </w:tc>
        <w:tc>
          <w:tcPr>
            <w:tcW w:w="1549" w:type="dxa"/>
            <w:tcBorders>
              <w:top w:val="single" w:sz="8" w:space="0" w:color="A6A6A6"/>
              <w:left w:val="nil"/>
              <w:bottom w:val="single" w:sz="8" w:space="0" w:color="A6A6A6"/>
              <w:right w:val="single" w:sz="8" w:space="0" w:color="A6A6A6"/>
            </w:tcBorders>
            <w:shd w:val="clear" w:color="auto" w:fill="F2F2F2" w:themeFill="background1" w:themeFillShade="F2"/>
            <w:vAlign w:val="center"/>
            <w:hideMark/>
          </w:tcPr>
          <w:p w14:paraId="5AB7BF84" w14:textId="2C70D1CF"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202</w:t>
            </w:r>
            <w:r w:rsidR="00B751F1" w:rsidRPr="00382A62">
              <w:rPr>
                <w:rFonts w:eastAsia="Times New Roman" w:cs="Arial"/>
                <w:b/>
                <w:bCs/>
                <w:color w:val="000000"/>
                <w:szCs w:val="20"/>
                <w:lang w:eastAsia="es-CR"/>
              </w:rPr>
              <w:t>2</w:t>
            </w:r>
            <w:r w:rsidRPr="00382A62">
              <w:rPr>
                <w:rFonts w:eastAsia="Times New Roman" w:cs="Arial"/>
                <w:b/>
                <w:bCs/>
                <w:color w:val="000000"/>
                <w:szCs w:val="20"/>
                <w:lang w:eastAsia="es-CR"/>
              </w:rPr>
              <w:t>-202</w:t>
            </w:r>
            <w:r w:rsidR="00B751F1" w:rsidRPr="00382A62">
              <w:rPr>
                <w:rFonts w:eastAsia="Times New Roman" w:cs="Arial"/>
                <w:b/>
                <w:bCs/>
                <w:color w:val="000000"/>
                <w:szCs w:val="20"/>
                <w:lang w:eastAsia="es-CR"/>
              </w:rPr>
              <w:t>3</w:t>
            </w:r>
          </w:p>
        </w:tc>
      </w:tr>
      <w:tr w:rsidR="005C68F1" w:rsidRPr="00382A62" w14:paraId="1E443DA6" w14:textId="77777777" w:rsidTr="004F0C72">
        <w:trPr>
          <w:trHeight w:val="315"/>
          <w:jc w:val="center"/>
        </w:trPr>
        <w:tc>
          <w:tcPr>
            <w:tcW w:w="1619" w:type="dxa"/>
            <w:vMerge/>
            <w:tcBorders>
              <w:top w:val="single" w:sz="8" w:space="0" w:color="A6A6A6"/>
              <w:left w:val="single" w:sz="8" w:space="0" w:color="A6A6A6"/>
              <w:bottom w:val="single" w:sz="8" w:space="0" w:color="A6A6A6"/>
              <w:right w:val="single" w:sz="8" w:space="0" w:color="A6A6A6"/>
            </w:tcBorders>
            <w:shd w:val="clear" w:color="auto" w:fill="F2F2F2" w:themeFill="background1" w:themeFillShade="F2"/>
            <w:vAlign w:val="center"/>
            <w:hideMark/>
          </w:tcPr>
          <w:p w14:paraId="35EAFB1A" w14:textId="77777777" w:rsidR="005C68F1" w:rsidRPr="00382A62" w:rsidRDefault="005C68F1" w:rsidP="007D00B2">
            <w:pPr>
              <w:spacing w:after="0" w:line="240" w:lineRule="auto"/>
              <w:jc w:val="left"/>
              <w:rPr>
                <w:rFonts w:eastAsia="Times New Roman" w:cs="Arial"/>
                <w:b/>
                <w:bCs/>
                <w:color w:val="000000"/>
                <w:szCs w:val="20"/>
                <w:lang w:eastAsia="es-CR"/>
              </w:rPr>
            </w:pPr>
          </w:p>
        </w:tc>
        <w:tc>
          <w:tcPr>
            <w:tcW w:w="5528" w:type="dxa"/>
            <w:vMerge/>
            <w:tcBorders>
              <w:top w:val="single" w:sz="8" w:space="0" w:color="A6A6A6"/>
              <w:left w:val="single" w:sz="8" w:space="0" w:color="A6A6A6"/>
              <w:bottom w:val="single" w:sz="8" w:space="0" w:color="A6A6A6"/>
              <w:right w:val="single" w:sz="8" w:space="0" w:color="A6A6A6"/>
            </w:tcBorders>
            <w:shd w:val="clear" w:color="auto" w:fill="F2F2F2" w:themeFill="background1" w:themeFillShade="F2"/>
            <w:vAlign w:val="center"/>
            <w:hideMark/>
          </w:tcPr>
          <w:p w14:paraId="12AFE958" w14:textId="77777777" w:rsidR="005C68F1" w:rsidRPr="00382A62" w:rsidRDefault="005C68F1" w:rsidP="007D00B2">
            <w:pPr>
              <w:spacing w:after="0" w:line="240" w:lineRule="auto"/>
              <w:jc w:val="left"/>
              <w:rPr>
                <w:rFonts w:eastAsia="Times New Roman" w:cs="Arial"/>
                <w:b/>
                <w:bCs/>
                <w:color w:val="000000"/>
                <w:szCs w:val="20"/>
                <w:lang w:eastAsia="es-CR"/>
              </w:rPr>
            </w:pPr>
          </w:p>
        </w:tc>
        <w:tc>
          <w:tcPr>
            <w:tcW w:w="1549" w:type="dxa"/>
            <w:tcBorders>
              <w:top w:val="nil"/>
              <w:left w:val="nil"/>
              <w:bottom w:val="single" w:sz="8" w:space="0" w:color="A6A6A6"/>
              <w:right w:val="single" w:sz="8" w:space="0" w:color="A6A6A6"/>
            </w:tcBorders>
            <w:shd w:val="clear" w:color="auto" w:fill="F2F2F2" w:themeFill="background1" w:themeFillShade="F2"/>
            <w:vAlign w:val="center"/>
            <w:hideMark/>
          </w:tcPr>
          <w:p w14:paraId="2C323C68" w14:textId="446EE225"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 xml:space="preserve">(En Millones de </w:t>
            </w:r>
            <w:r w:rsidR="005930FE" w:rsidRPr="00382A62">
              <w:rPr>
                <w:rFonts w:eastAsia="Times New Roman" w:cs="Arial"/>
                <w:b/>
                <w:bCs/>
                <w:color w:val="000000"/>
                <w:szCs w:val="20"/>
                <w:lang w:eastAsia="es-CR"/>
              </w:rPr>
              <w:t>colones</w:t>
            </w:r>
            <w:r w:rsidRPr="00382A62">
              <w:rPr>
                <w:rFonts w:eastAsia="Times New Roman" w:cs="Arial"/>
                <w:b/>
                <w:bCs/>
                <w:color w:val="000000"/>
                <w:szCs w:val="20"/>
                <w:lang w:eastAsia="es-CR"/>
              </w:rPr>
              <w:t>)</w:t>
            </w:r>
          </w:p>
        </w:tc>
      </w:tr>
      <w:tr w:rsidR="004650EE" w:rsidRPr="00382A62" w14:paraId="4878E7E0" w14:textId="77777777" w:rsidTr="00613F07">
        <w:trPr>
          <w:trHeight w:val="512"/>
          <w:jc w:val="center"/>
        </w:trPr>
        <w:tc>
          <w:tcPr>
            <w:tcW w:w="1619" w:type="dxa"/>
            <w:tcBorders>
              <w:top w:val="nil"/>
              <w:left w:val="single" w:sz="8" w:space="0" w:color="A6A6A6"/>
              <w:bottom w:val="single" w:sz="8" w:space="0" w:color="A6A6A6"/>
              <w:right w:val="single" w:sz="8" w:space="0" w:color="A6A6A6"/>
            </w:tcBorders>
            <w:shd w:val="clear" w:color="000000" w:fill="FFFFFF"/>
            <w:hideMark/>
          </w:tcPr>
          <w:p w14:paraId="3AFDBC72" w14:textId="538BE6B8" w:rsidR="004650EE" w:rsidRPr="00382A62" w:rsidRDefault="004650EE" w:rsidP="004650EE">
            <w:pPr>
              <w:spacing w:after="0" w:line="240" w:lineRule="auto"/>
              <w:jc w:val="left"/>
              <w:rPr>
                <w:rFonts w:eastAsia="Times New Roman" w:cs="Arial"/>
                <w:color w:val="000000"/>
                <w:szCs w:val="20"/>
                <w:lang w:eastAsia="es-CR"/>
              </w:rPr>
            </w:pPr>
            <w:r w:rsidRPr="00A8623F">
              <w:t>Todo Riesgo Daño Físico</w:t>
            </w:r>
          </w:p>
        </w:tc>
        <w:tc>
          <w:tcPr>
            <w:tcW w:w="5528" w:type="dxa"/>
            <w:tcBorders>
              <w:top w:val="nil"/>
              <w:left w:val="nil"/>
              <w:bottom w:val="single" w:sz="8" w:space="0" w:color="A6A6A6"/>
              <w:right w:val="single" w:sz="8" w:space="0" w:color="A6A6A6"/>
            </w:tcBorders>
            <w:shd w:val="clear" w:color="000000" w:fill="FFFFFF"/>
            <w:hideMark/>
          </w:tcPr>
          <w:p w14:paraId="333326E9" w14:textId="74FC97D0" w:rsidR="004650EE" w:rsidRPr="00382A62" w:rsidRDefault="004650EE" w:rsidP="004650EE">
            <w:pPr>
              <w:spacing w:after="0" w:line="240" w:lineRule="auto"/>
              <w:jc w:val="left"/>
              <w:rPr>
                <w:rFonts w:eastAsia="Times New Roman" w:cs="Arial"/>
                <w:color w:val="000000"/>
                <w:szCs w:val="20"/>
                <w:lang w:eastAsia="es-CR"/>
              </w:rPr>
            </w:pPr>
            <w:r w:rsidRPr="00A8623F">
              <w:t>Edificios, mejoras a terrenos, obras de arte, herramientas, muebles y enseres, obras en proceso, maquinaria y equipo</w:t>
            </w:r>
          </w:p>
        </w:tc>
        <w:tc>
          <w:tcPr>
            <w:tcW w:w="1549" w:type="dxa"/>
            <w:tcBorders>
              <w:top w:val="nil"/>
              <w:left w:val="nil"/>
              <w:bottom w:val="single" w:sz="8" w:space="0" w:color="A6A6A6"/>
              <w:right w:val="single" w:sz="8" w:space="0" w:color="A6A6A6"/>
            </w:tcBorders>
            <w:shd w:val="clear" w:color="000000" w:fill="FFFFFF"/>
            <w:hideMark/>
          </w:tcPr>
          <w:p w14:paraId="629D52A8" w14:textId="0463019D" w:rsidR="004650EE" w:rsidRPr="00382A62" w:rsidRDefault="004650EE" w:rsidP="004650EE">
            <w:pPr>
              <w:spacing w:after="0" w:line="240" w:lineRule="auto"/>
              <w:jc w:val="right"/>
              <w:rPr>
                <w:rFonts w:eastAsia="Times New Roman" w:cs="Arial"/>
                <w:color w:val="000000"/>
                <w:szCs w:val="20"/>
                <w:lang w:eastAsia="es-CR"/>
              </w:rPr>
            </w:pPr>
            <w:r w:rsidRPr="00A8623F">
              <w:t xml:space="preserve"> 536,435.13 </w:t>
            </w:r>
          </w:p>
        </w:tc>
      </w:tr>
      <w:tr w:rsidR="004650EE" w:rsidRPr="00382A62" w14:paraId="17CD53BC" w14:textId="77777777" w:rsidTr="00613F07">
        <w:trPr>
          <w:trHeight w:val="279"/>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616444FB" w14:textId="2021F0FB" w:rsidR="004650EE" w:rsidRPr="00382A62" w:rsidRDefault="004650EE" w:rsidP="004650EE">
            <w:pPr>
              <w:spacing w:after="0" w:line="240" w:lineRule="auto"/>
              <w:jc w:val="left"/>
              <w:rPr>
                <w:rFonts w:eastAsia="Times New Roman" w:cs="Arial"/>
                <w:color w:val="000000"/>
                <w:szCs w:val="20"/>
                <w:lang w:eastAsia="es-CR"/>
              </w:rPr>
            </w:pPr>
            <w:r w:rsidRPr="00A8623F">
              <w:t>Flotilla de Vehículos</w:t>
            </w:r>
          </w:p>
        </w:tc>
        <w:tc>
          <w:tcPr>
            <w:tcW w:w="5528" w:type="dxa"/>
            <w:tcBorders>
              <w:top w:val="nil"/>
              <w:left w:val="nil"/>
              <w:bottom w:val="single" w:sz="8" w:space="0" w:color="A6A6A6"/>
              <w:right w:val="single" w:sz="8" w:space="0" w:color="A6A6A6"/>
            </w:tcBorders>
            <w:shd w:val="clear" w:color="000000" w:fill="FFFFFF"/>
            <w:noWrap/>
            <w:hideMark/>
          </w:tcPr>
          <w:p w14:paraId="5EB72B65" w14:textId="4E89F4E6" w:rsidR="004650EE" w:rsidRPr="00382A62" w:rsidRDefault="004650EE" w:rsidP="004650EE">
            <w:pPr>
              <w:spacing w:after="0" w:line="240" w:lineRule="auto"/>
              <w:jc w:val="left"/>
              <w:rPr>
                <w:rFonts w:eastAsia="Times New Roman" w:cs="Arial"/>
                <w:color w:val="000000"/>
                <w:szCs w:val="20"/>
                <w:lang w:eastAsia="es-CR"/>
              </w:rPr>
            </w:pPr>
            <w:r w:rsidRPr="00A8623F">
              <w:t>Vehículos propiedad de la compañía</w:t>
            </w:r>
          </w:p>
        </w:tc>
        <w:tc>
          <w:tcPr>
            <w:tcW w:w="1549" w:type="dxa"/>
            <w:tcBorders>
              <w:top w:val="nil"/>
              <w:left w:val="nil"/>
              <w:bottom w:val="single" w:sz="8" w:space="0" w:color="A6A6A6"/>
              <w:right w:val="single" w:sz="8" w:space="0" w:color="A6A6A6"/>
            </w:tcBorders>
            <w:shd w:val="clear" w:color="000000" w:fill="FFFFFF"/>
            <w:hideMark/>
          </w:tcPr>
          <w:p w14:paraId="4D42D40A" w14:textId="13FFF040" w:rsidR="004650EE" w:rsidRPr="00382A62" w:rsidRDefault="004650EE" w:rsidP="004650EE">
            <w:pPr>
              <w:spacing w:after="0" w:line="240" w:lineRule="auto"/>
              <w:jc w:val="right"/>
              <w:rPr>
                <w:rFonts w:eastAsia="Times New Roman" w:cs="Arial"/>
                <w:color w:val="000000"/>
                <w:szCs w:val="20"/>
                <w:lang w:eastAsia="es-CR"/>
              </w:rPr>
            </w:pPr>
            <w:r w:rsidRPr="00A8623F">
              <w:t xml:space="preserve"> 164,723.95 </w:t>
            </w:r>
          </w:p>
        </w:tc>
      </w:tr>
      <w:tr w:rsidR="004650EE" w:rsidRPr="00382A62" w14:paraId="34706030" w14:textId="77777777" w:rsidTr="00613F07">
        <w:trPr>
          <w:trHeight w:val="512"/>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3B120D71" w14:textId="7A49D8C3" w:rsidR="004650EE" w:rsidRPr="00382A62" w:rsidRDefault="004650EE" w:rsidP="004650EE">
            <w:pPr>
              <w:spacing w:after="0" w:line="240" w:lineRule="auto"/>
              <w:jc w:val="left"/>
              <w:rPr>
                <w:rFonts w:eastAsia="Times New Roman" w:cs="Arial"/>
                <w:color w:val="000000"/>
                <w:szCs w:val="20"/>
                <w:lang w:eastAsia="es-CR"/>
              </w:rPr>
            </w:pPr>
            <w:r w:rsidRPr="00A8623F">
              <w:t>Responsabilidad Civil Umbrella</w:t>
            </w:r>
          </w:p>
        </w:tc>
        <w:tc>
          <w:tcPr>
            <w:tcW w:w="5528" w:type="dxa"/>
            <w:tcBorders>
              <w:top w:val="nil"/>
              <w:left w:val="nil"/>
              <w:bottom w:val="single" w:sz="8" w:space="0" w:color="A6A6A6"/>
              <w:right w:val="single" w:sz="8" w:space="0" w:color="A6A6A6"/>
            </w:tcBorders>
            <w:shd w:val="clear" w:color="000000" w:fill="FFFFFF"/>
            <w:hideMark/>
          </w:tcPr>
          <w:p w14:paraId="3E9A8018" w14:textId="6FF451CE" w:rsidR="004650EE" w:rsidRPr="00382A62" w:rsidRDefault="004650EE" w:rsidP="004650EE">
            <w:pPr>
              <w:spacing w:after="0" w:line="240" w:lineRule="auto"/>
              <w:jc w:val="left"/>
              <w:rPr>
                <w:rFonts w:eastAsia="Times New Roman" w:cs="Arial"/>
                <w:color w:val="000000"/>
                <w:szCs w:val="20"/>
                <w:lang w:eastAsia="es-CR"/>
              </w:rPr>
            </w:pPr>
            <w:r w:rsidRPr="00A8623F">
              <w:t>Producción, distribución y venta de los productos de la compañía en territorio nacional y en el extranjero</w:t>
            </w:r>
          </w:p>
        </w:tc>
        <w:tc>
          <w:tcPr>
            <w:tcW w:w="1549" w:type="dxa"/>
            <w:tcBorders>
              <w:top w:val="nil"/>
              <w:left w:val="nil"/>
              <w:bottom w:val="single" w:sz="8" w:space="0" w:color="A6A6A6"/>
              <w:right w:val="single" w:sz="8" w:space="0" w:color="A6A6A6"/>
            </w:tcBorders>
            <w:shd w:val="clear" w:color="000000" w:fill="FFFFFF"/>
            <w:hideMark/>
          </w:tcPr>
          <w:p w14:paraId="158BEF84" w14:textId="30350A5A" w:rsidR="004650EE" w:rsidRPr="00382A62" w:rsidRDefault="004650EE" w:rsidP="004650EE">
            <w:pPr>
              <w:spacing w:after="0" w:line="240" w:lineRule="auto"/>
              <w:jc w:val="right"/>
              <w:rPr>
                <w:rFonts w:eastAsia="Times New Roman" w:cs="Arial"/>
                <w:color w:val="000000"/>
                <w:szCs w:val="20"/>
                <w:lang w:eastAsia="es-CR"/>
              </w:rPr>
            </w:pPr>
            <w:r w:rsidRPr="00A8623F">
              <w:t xml:space="preserve"> 82,947.69 </w:t>
            </w:r>
          </w:p>
        </w:tc>
      </w:tr>
      <w:tr w:rsidR="004650EE" w:rsidRPr="00382A62" w14:paraId="265D49AB" w14:textId="77777777" w:rsidTr="00613F07">
        <w:trPr>
          <w:trHeight w:val="512"/>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5626E4FB" w14:textId="5013C444" w:rsidR="004650EE" w:rsidRPr="00382A62" w:rsidRDefault="004650EE" w:rsidP="004650EE">
            <w:pPr>
              <w:spacing w:after="0" w:line="240" w:lineRule="auto"/>
              <w:jc w:val="left"/>
              <w:rPr>
                <w:rFonts w:eastAsia="Times New Roman" w:cs="Arial"/>
                <w:color w:val="000000"/>
                <w:szCs w:val="20"/>
                <w:lang w:eastAsia="es-CR"/>
              </w:rPr>
            </w:pPr>
            <w:r w:rsidRPr="00A8623F">
              <w:t>Carga, Importación y Exportación</w:t>
            </w:r>
          </w:p>
        </w:tc>
        <w:tc>
          <w:tcPr>
            <w:tcW w:w="5528" w:type="dxa"/>
            <w:tcBorders>
              <w:top w:val="nil"/>
              <w:left w:val="nil"/>
              <w:bottom w:val="single" w:sz="8" w:space="0" w:color="A6A6A6"/>
              <w:right w:val="single" w:sz="8" w:space="0" w:color="A6A6A6"/>
            </w:tcBorders>
            <w:shd w:val="clear" w:color="000000" w:fill="FFFFFF"/>
            <w:hideMark/>
          </w:tcPr>
          <w:p w14:paraId="2D2B5F54" w14:textId="1265DE76" w:rsidR="004650EE" w:rsidRPr="00382A62" w:rsidRDefault="004650EE" w:rsidP="004650EE">
            <w:pPr>
              <w:spacing w:after="0" w:line="240" w:lineRule="auto"/>
              <w:jc w:val="left"/>
              <w:rPr>
                <w:rFonts w:eastAsia="Times New Roman" w:cs="Arial"/>
                <w:color w:val="000000"/>
                <w:szCs w:val="20"/>
                <w:lang w:eastAsia="es-CR"/>
              </w:rPr>
            </w:pPr>
            <w:r w:rsidRPr="00A8623F">
              <w:t>Materias primas, material de empaque, repuestos, productos importados y de exportación</w:t>
            </w:r>
          </w:p>
        </w:tc>
        <w:tc>
          <w:tcPr>
            <w:tcW w:w="1549" w:type="dxa"/>
            <w:tcBorders>
              <w:top w:val="nil"/>
              <w:left w:val="nil"/>
              <w:bottom w:val="single" w:sz="8" w:space="0" w:color="A6A6A6"/>
              <w:right w:val="single" w:sz="8" w:space="0" w:color="A6A6A6"/>
            </w:tcBorders>
            <w:shd w:val="clear" w:color="000000" w:fill="FFFFFF"/>
            <w:hideMark/>
          </w:tcPr>
          <w:p w14:paraId="1739FAF5" w14:textId="440641CF" w:rsidR="004650EE" w:rsidRPr="00382A62" w:rsidRDefault="004650EE" w:rsidP="004650EE">
            <w:pPr>
              <w:spacing w:after="0" w:line="240" w:lineRule="auto"/>
              <w:jc w:val="right"/>
              <w:rPr>
                <w:rFonts w:eastAsia="Times New Roman" w:cs="Arial"/>
                <w:color w:val="000000"/>
                <w:szCs w:val="20"/>
                <w:lang w:eastAsia="es-CR"/>
              </w:rPr>
            </w:pPr>
            <w:r w:rsidRPr="00A8623F">
              <w:t xml:space="preserve"> 56,427.00 </w:t>
            </w:r>
          </w:p>
        </w:tc>
      </w:tr>
      <w:tr w:rsidR="004650EE" w:rsidRPr="00382A62" w14:paraId="76FF4668" w14:textId="77777777" w:rsidTr="00613F07">
        <w:trPr>
          <w:trHeight w:val="512"/>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63DFF598" w14:textId="026EA3C6" w:rsidR="004650EE" w:rsidRPr="00382A62" w:rsidRDefault="004650EE" w:rsidP="004650EE">
            <w:pPr>
              <w:spacing w:after="0" w:line="240" w:lineRule="auto"/>
              <w:jc w:val="left"/>
              <w:rPr>
                <w:rFonts w:eastAsia="Times New Roman" w:cs="Arial"/>
                <w:color w:val="000000"/>
                <w:szCs w:val="20"/>
                <w:lang w:eastAsia="es-CR"/>
              </w:rPr>
            </w:pPr>
            <w:r w:rsidRPr="00A8623F">
              <w:t>Riesgos del Trabajo</w:t>
            </w:r>
          </w:p>
        </w:tc>
        <w:tc>
          <w:tcPr>
            <w:tcW w:w="5528" w:type="dxa"/>
            <w:tcBorders>
              <w:top w:val="nil"/>
              <w:left w:val="nil"/>
              <w:bottom w:val="single" w:sz="8" w:space="0" w:color="A6A6A6"/>
              <w:right w:val="single" w:sz="8" w:space="0" w:color="A6A6A6"/>
            </w:tcBorders>
            <w:shd w:val="clear" w:color="000000" w:fill="FFFFFF"/>
            <w:noWrap/>
            <w:hideMark/>
          </w:tcPr>
          <w:p w14:paraId="21DDA535" w14:textId="79E0CDA8" w:rsidR="004650EE" w:rsidRPr="00382A62" w:rsidRDefault="004650EE" w:rsidP="004650EE">
            <w:pPr>
              <w:spacing w:after="0" w:line="240" w:lineRule="auto"/>
              <w:jc w:val="left"/>
              <w:rPr>
                <w:rFonts w:eastAsia="Times New Roman" w:cs="Arial"/>
                <w:color w:val="000000"/>
                <w:szCs w:val="20"/>
                <w:lang w:eastAsia="es-CR"/>
              </w:rPr>
            </w:pPr>
            <w:r w:rsidRPr="00A8623F">
              <w:t>Funcionarios de la compañía</w:t>
            </w:r>
          </w:p>
        </w:tc>
        <w:tc>
          <w:tcPr>
            <w:tcW w:w="1549" w:type="dxa"/>
            <w:tcBorders>
              <w:top w:val="nil"/>
              <w:left w:val="nil"/>
              <w:bottom w:val="single" w:sz="8" w:space="0" w:color="A6A6A6"/>
              <w:right w:val="single" w:sz="8" w:space="0" w:color="A6A6A6"/>
            </w:tcBorders>
            <w:shd w:val="clear" w:color="000000" w:fill="FFFFFF"/>
            <w:hideMark/>
          </w:tcPr>
          <w:p w14:paraId="593C3D0F" w14:textId="3D76893D" w:rsidR="004650EE" w:rsidRPr="00382A62" w:rsidRDefault="004650EE" w:rsidP="004650EE">
            <w:pPr>
              <w:spacing w:after="0" w:line="240" w:lineRule="auto"/>
              <w:jc w:val="right"/>
              <w:rPr>
                <w:rFonts w:eastAsia="Times New Roman" w:cs="Arial"/>
                <w:color w:val="000000"/>
                <w:szCs w:val="20"/>
                <w:lang w:eastAsia="es-CR"/>
              </w:rPr>
            </w:pPr>
            <w:r w:rsidRPr="00A8623F">
              <w:t xml:space="preserve"> 48,895.16 </w:t>
            </w:r>
          </w:p>
        </w:tc>
      </w:tr>
      <w:tr w:rsidR="004650EE" w:rsidRPr="00382A62" w14:paraId="65EB5B91" w14:textId="77777777" w:rsidTr="00613F07">
        <w:trPr>
          <w:trHeight w:val="512"/>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3A3CFB71" w14:textId="3098D852" w:rsidR="004650EE" w:rsidRPr="00382A62" w:rsidRDefault="004650EE" w:rsidP="004650EE">
            <w:pPr>
              <w:spacing w:after="0" w:line="240" w:lineRule="auto"/>
              <w:jc w:val="left"/>
              <w:rPr>
                <w:rFonts w:eastAsia="Times New Roman" w:cs="Arial"/>
                <w:color w:val="000000"/>
                <w:szCs w:val="20"/>
                <w:lang w:eastAsia="es-CR"/>
              </w:rPr>
            </w:pPr>
            <w:r w:rsidRPr="00A8623F">
              <w:t>Responsabilidad Civil General</w:t>
            </w:r>
          </w:p>
        </w:tc>
        <w:tc>
          <w:tcPr>
            <w:tcW w:w="5528" w:type="dxa"/>
            <w:tcBorders>
              <w:top w:val="nil"/>
              <w:left w:val="nil"/>
              <w:bottom w:val="single" w:sz="8" w:space="0" w:color="A6A6A6"/>
              <w:right w:val="single" w:sz="8" w:space="0" w:color="A6A6A6"/>
            </w:tcBorders>
            <w:shd w:val="clear" w:color="000000" w:fill="FFFFFF"/>
            <w:hideMark/>
          </w:tcPr>
          <w:p w14:paraId="5086FB09" w14:textId="55DE2210" w:rsidR="004650EE" w:rsidRPr="00382A62" w:rsidRDefault="004650EE" w:rsidP="004650EE">
            <w:pPr>
              <w:spacing w:after="0" w:line="240" w:lineRule="auto"/>
              <w:jc w:val="left"/>
              <w:rPr>
                <w:rFonts w:eastAsia="Times New Roman" w:cs="Arial"/>
                <w:color w:val="000000"/>
                <w:szCs w:val="20"/>
                <w:lang w:eastAsia="es-CR"/>
              </w:rPr>
            </w:pPr>
            <w:r w:rsidRPr="00A8623F">
              <w:t>Producción, distribución y venta de los productos de la compañía en territorio nacional y en el extranjero</w:t>
            </w:r>
          </w:p>
        </w:tc>
        <w:tc>
          <w:tcPr>
            <w:tcW w:w="1549" w:type="dxa"/>
            <w:tcBorders>
              <w:top w:val="nil"/>
              <w:left w:val="nil"/>
              <w:bottom w:val="single" w:sz="8" w:space="0" w:color="A6A6A6"/>
              <w:right w:val="single" w:sz="8" w:space="0" w:color="A6A6A6"/>
            </w:tcBorders>
            <w:shd w:val="clear" w:color="000000" w:fill="FFFFFF"/>
            <w:hideMark/>
          </w:tcPr>
          <w:p w14:paraId="3379E24C" w14:textId="7FD0BC31" w:rsidR="004650EE" w:rsidRPr="00382A62" w:rsidRDefault="004650EE" w:rsidP="004650EE">
            <w:pPr>
              <w:spacing w:after="0" w:line="240" w:lineRule="auto"/>
              <w:jc w:val="right"/>
              <w:rPr>
                <w:rFonts w:eastAsia="Times New Roman" w:cs="Arial"/>
                <w:color w:val="000000"/>
                <w:szCs w:val="20"/>
                <w:lang w:eastAsia="es-CR"/>
              </w:rPr>
            </w:pPr>
            <w:r w:rsidRPr="00A8623F">
              <w:t xml:space="preserve"> 13,062.85 </w:t>
            </w:r>
          </w:p>
        </w:tc>
      </w:tr>
      <w:tr w:rsidR="004650EE" w:rsidRPr="00382A62" w14:paraId="3D96BE53" w14:textId="77777777" w:rsidTr="00613F07">
        <w:trPr>
          <w:trHeight w:val="512"/>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1124C157" w14:textId="3127C0FD" w:rsidR="004650EE" w:rsidRPr="00382A62" w:rsidRDefault="004650EE" w:rsidP="004650EE">
            <w:pPr>
              <w:spacing w:after="0" w:line="240" w:lineRule="auto"/>
              <w:jc w:val="left"/>
              <w:rPr>
                <w:rFonts w:eastAsia="Times New Roman" w:cs="Arial"/>
                <w:color w:val="000000"/>
                <w:szCs w:val="20"/>
                <w:lang w:eastAsia="es-CR"/>
              </w:rPr>
            </w:pPr>
            <w:r w:rsidRPr="00A8623F">
              <w:t>Equipo Contratista</w:t>
            </w:r>
          </w:p>
        </w:tc>
        <w:tc>
          <w:tcPr>
            <w:tcW w:w="5528" w:type="dxa"/>
            <w:tcBorders>
              <w:top w:val="nil"/>
              <w:left w:val="nil"/>
              <w:bottom w:val="single" w:sz="8" w:space="0" w:color="A6A6A6"/>
              <w:right w:val="single" w:sz="8" w:space="0" w:color="A6A6A6"/>
            </w:tcBorders>
            <w:shd w:val="clear" w:color="000000" w:fill="FFFFFF"/>
            <w:hideMark/>
          </w:tcPr>
          <w:p w14:paraId="4A19DD27" w14:textId="361D92F3" w:rsidR="004650EE" w:rsidRPr="00382A62" w:rsidRDefault="004650EE" w:rsidP="004650EE">
            <w:pPr>
              <w:spacing w:after="0" w:line="240" w:lineRule="auto"/>
              <w:jc w:val="left"/>
              <w:rPr>
                <w:rFonts w:eastAsia="Times New Roman" w:cs="Arial"/>
                <w:color w:val="000000"/>
                <w:szCs w:val="20"/>
                <w:lang w:eastAsia="es-CR"/>
              </w:rPr>
            </w:pPr>
            <w:r w:rsidRPr="00A8623F">
              <w:t>Equipo Contratista</w:t>
            </w:r>
          </w:p>
        </w:tc>
        <w:tc>
          <w:tcPr>
            <w:tcW w:w="1549" w:type="dxa"/>
            <w:tcBorders>
              <w:top w:val="nil"/>
              <w:left w:val="nil"/>
              <w:bottom w:val="single" w:sz="8" w:space="0" w:color="A6A6A6"/>
              <w:right w:val="single" w:sz="8" w:space="0" w:color="A6A6A6"/>
            </w:tcBorders>
            <w:shd w:val="clear" w:color="000000" w:fill="FFFFFF"/>
            <w:hideMark/>
          </w:tcPr>
          <w:p w14:paraId="62143DE1" w14:textId="0A9DD742" w:rsidR="004650EE" w:rsidRPr="00382A62" w:rsidRDefault="004650EE" w:rsidP="004650EE">
            <w:pPr>
              <w:spacing w:after="0" w:line="240" w:lineRule="auto"/>
              <w:jc w:val="right"/>
              <w:rPr>
                <w:rFonts w:eastAsia="Times New Roman" w:cs="Arial"/>
                <w:color w:val="000000"/>
                <w:szCs w:val="20"/>
                <w:lang w:eastAsia="es-CR"/>
              </w:rPr>
            </w:pPr>
            <w:r w:rsidRPr="00A8623F">
              <w:t xml:space="preserve"> 1,131.67 </w:t>
            </w:r>
          </w:p>
        </w:tc>
      </w:tr>
      <w:tr w:rsidR="004650EE" w:rsidRPr="00382A62" w14:paraId="1B7C7158" w14:textId="77777777" w:rsidTr="00613F07">
        <w:trPr>
          <w:trHeight w:val="512"/>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5B104AF8" w14:textId="1282C808" w:rsidR="004650EE" w:rsidRPr="00382A62" w:rsidRDefault="004650EE" w:rsidP="004650EE">
            <w:pPr>
              <w:spacing w:after="0" w:line="240" w:lineRule="auto"/>
              <w:jc w:val="left"/>
              <w:rPr>
                <w:rFonts w:eastAsia="Times New Roman" w:cs="Arial"/>
                <w:color w:val="000000"/>
                <w:szCs w:val="20"/>
                <w:lang w:eastAsia="es-CR"/>
              </w:rPr>
            </w:pPr>
            <w:r w:rsidRPr="00A8623F">
              <w:t>Equipo Electrónico</w:t>
            </w:r>
          </w:p>
        </w:tc>
        <w:tc>
          <w:tcPr>
            <w:tcW w:w="5528" w:type="dxa"/>
            <w:tcBorders>
              <w:top w:val="nil"/>
              <w:left w:val="nil"/>
              <w:bottom w:val="single" w:sz="8" w:space="0" w:color="A6A6A6"/>
              <w:right w:val="single" w:sz="8" w:space="0" w:color="A6A6A6"/>
            </w:tcBorders>
            <w:shd w:val="clear" w:color="000000" w:fill="FFFFFF"/>
            <w:hideMark/>
          </w:tcPr>
          <w:p w14:paraId="1B18FD9D" w14:textId="505D97D9" w:rsidR="004650EE" w:rsidRPr="00382A62" w:rsidRDefault="004650EE" w:rsidP="004650EE">
            <w:pPr>
              <w:spacing w:after="0" w:line="240" w:lineRule="auto"/>
              <w:jc w:val="left"/>
              <w:rPr>
                <w:rFonts w:eastAsia="Times New Roman" w:cs="Arial"/>
                <w:color w:val="000000"/>
                <w:szCs w:val="20"/>
                <w:lang w:eastAsia="es-CR"/>
              </w:rPr>
            </w:pPr>
            <w:r w:rsidRPr="00A8623F">
              <w:t xml:space="preserve">Pantallas LED, equipos electrónicos móviles de Eventos Especiales </w:t>
            </w:r>
          </w:p>
        </w:tc>
        <w:tc>
          <w:tcPr>
            <w:tcW w:w="1549" w:type="dxa"/>
            <w:tcBorders>
              <w:top w:val="nil"/>
              <w:left w:val="nil"/>
              <w:bottom w:val="single" w:sz="8" w:space="0" w:color="A6A6A6"/>
              <w:right w:val="single" w:sz="8" w:space="0" w:color="A6A6A6"/>
            </w:tcBorders>
            <w:shd w:val="clear" w:color="000000" w:fill="FFFFFF"/>
            <w:hideMark/>
          </w:tcPr>
          <w:p w14:paraId="555E3DFA" w14:textId="10E2B4CA" w:rsidR="004650EE" w:rsidRPr="00382A62" w:rsidRDefault="004650EE" w:rsidP="004650EE">
            <w:pPr>
              <w:spacing w:after="0" w:line="240" w:lineRule="auto"/>
              <w:jc w:val="right"/>
              <w:rPr>
                <w:rFonts w:eastAsia="Times New Roman" w:cs="Arial"/>
                <w:color w:val="000000"/>
                <w:szCs w:val="20"/>
                <w:lang w:eastAsia="es-CR"/>
              </w:rPr>
            </w:pPr>
            <w:r w:rsidRPr="00A8623F">
              <w:t xml:space="preserve"> 916.15 </w:t>
            </w:r>
          </w:p>
        </w:tc>
      </w:tr>
      <w:tr w:rsidR="004650EE" w:rsidRPr="00382A62" w14:paraId="6E77AFD8" w14:textId="77777777" w:rsidTr="00613F07">
        <w:trPr>
          <w:trHeight w:val="512"/>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1015086D" w14:textId="495D3FFF" w:rsidR="004650EE" w:rsidRPr="00382A62" w:rsidRDefault="004650EE" w:rsidP="004650EE">
            <w:pPr>
              <w:spacing w:after="0" w:line="240" w:lineRule="auto"/>
              <w:jc w:val="left"/>
              <w:rPr>
                <w:rFonts w:eastAsia="Times New Roman" w:cs="Arial"/>
                <w:color w:val="000000"/>
                <w:szCs w:val="20"/>
                <w:lang w:eastAsia="es-CR"/>
              </w:rPr>
            </w:pPr>
            <w:r w:rsidRPr="00A8623F">
              <w:t>Riesgo Nombrado</w:t>
            </w:r>
          </w:p>
        </w:tc>
        <w:tc>
          <w:tcPr>
            <w:tcW w:w="5528" w:type="dxa"/>
            <w:tcBorders>
              <w:top w:val="nil"/>
              <w:left w:val="nil"/>
              <w:bottom w:val="single" w:sz="8" w:space="0" w:color="A6A6A6"/>
              <w:right w:val="single" w:sz="8" w:space="0" w:color="A6A6A6"/>
            </w:tcBorders>
            <w:shd w:val="clear" w:color="000000" w:fill="FFFFFF"/>
            <w:hideMark/>
          </w:tcPr>
          <w:p w14:paraId="11F0EDB4" w14:textId="040D3DC3" w:rsidR="004650EE" w:rsidRPr="00382A62" w:rsidRDefault="004650EE" w:rsidP="004650EE">
            <w:pPr>
              <w:spacing w:after="0" w:line="240" w:lineRule="auto"/>
              <w:jc w:val="left"/>
              <w:rPr>
                <w:rFonts w:eastAsia="Times New Roman" w:cs="Arial"/>
                <w:color w:val="000000"/>
                <w:szCs w:val="20"/>
                <w:lang w:eastAsia="es-CR"/>
              </w:rPr>
            </w:pPr>
            <w:r w:rsidRPr="00A8623F">
              <w:t>Máquinas de Reciclaje, Plantas Eléctricas Móviles y Tarima Hidráulica</w:t>
            </w:r>
          </w:p>
        </w:tc>
        <w:tc>
          <w:tcPr>
            <w:tcW w:w="1549" w:type="dxa"/>
            <w:tcBorders>
              <w:top w:val="nil"/>
              <w:left w:val="nil"/>
              <w:bottom w:val="single" w:sz="8" w:space="0" w:color="A6A6A6"/>
              <w:right w:val="single" w:sz="8" w:space="0" w:color="A6A6A6"/>
            </w:tcBorders>
            <w:shd w:val="clear" w:color="000000" w:fill="FFFFFF"/>
            <w:hideMark/>
          </w:tcPr>
          <w:p w14:paraId="27C93EB7" w14:textId="2B87220E" w:rsidR="004650EE" w:rsidRPr="00382A62" w:rsidRDefault="004650EE" w:rsidP="004650EE">
            <w:pPr>
              <w:spacing w:after="0" w:line="240" w:lineRule="auto"/>
              <w:jc w:val="right"/>
              <w:rPr>
                <w:rFonts w:eastAsia="Times New Roman" w:cs="Arial"/>
                <w:color w:val="000000"/>
                <w:szCs w:val="20"/>
                <w:lang w:eastAsia="es-CR"/>
              </w:rPr>
            </w:pPr>
            <w:r w:rsidRPr="00A8623F">
              <w:t xml:space="preserve"> 472.75 </w:t>
            </w:r>
          </w:p>
        </w:tc>
      </w:tr>
      <w:tr w:rsidR="004650EE" w:rsidRPr="00382A62" w14:paraId="5E91713D" w14:textId="77777777" w:rsidTr="00613F07">
        <w:trPr>
          <w:trHeight w:val="512"/>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00A1E89C" w14:textId="72EF7D9C" w:rsidR="004650EE" w:rsidRPr="00382A62" w:rsidRDefault="004650EE" w:rsidP="004650EE">
            <w:pPr>
              <w:spacing w:after="0" w:line="240" w:lineRule="auto"/>
              <w:jc w:val="left"/>
              <w:rPr>
                <w:rFonts w:eastAsia="Times New Roman" w:cs="Arial"/>
                <w:color w:val="000000"/>
                <w:szCs w:val="20"/>
                <w:lang w:eastAsia="es-CR"/>
              </w:rPr>
            </w:pPr>
            <w:r w:rsidRPr="00A8623F">
              <w:t>Calderas</w:t>
            </w:r>
          </w:p>
        </w:tc>
        <w:tc>
          <w:tcPr>
            <w:tcW w:w="5528" w:type="dxa"/>
            <w:tcBorders>
              <w:top w:val="nil"/>
              <w:left w:val="nil"/>
              <w:bottom w:val="single" w:sz="8" w:space="0" w:color="A6A6A6"/>
              <w:right w:val="single" w:sz="8" w:space="0" w:color="A6A6A6"/>
            </w:tcBorders>
            <w:shd w:val="clear" w:color="000000" w:fill="FFFFFF"/>
            <w:hideMark/>
          </w:tcPr>
          <w:p w14:paraId="5E6554F4" w14:textId="2A8D8F70" w:rsidR="004650EE" w:rsidRPr="00382A62" w:rsidRDefault="004650EE" w:rsidP="004650EE">
            <w:pPr>
              <w:spacing w:after="0" w:line="240" w:lineRule="auto"/>
              <w:jc w:val="left"/>
              <w:rPr>
                <w:rFonts w:eastAsia="Times New Roman" w:cs="Arial"/>
                <w:color w:val="000000"/>
                <w:szCs w:val="20"/>
                <w:lang w:eastAsia="es-CR"/>
              </w:rPr>
            </w:pPr>
            <w:r w:rsidRPr="00A8623F">
              <w:t>Calderas de la Compañía</w:t>
            </w:r>
          </w:p>
        </w:tc>
        <w:tc>
          <w:tcPr>
            <w:tcW w:w="1549" w:type="dxa"/>
            <w:tcBorders>
              <w:top w:val="nil"/>
              <w:left w:val="nil"/>
              <w:bottom w:val="single" w:sz="8" w:space="0" w:color="A6A6A6"/>
              <w:right w:val="single" w:sz="8" w:space="0" w:color="A6A6A6"/>
            </w:tcBorders>
            <w:shd w:val="clear" w:color="000000" w:fill="FFFFFF"/>
            <w:hideMark/>
          </w:tcPr>
          <w:p w14:paraId="6C644AAB" w14:textId="76A95939" w:rsidR="004650EE" w:rsidRPr="00382A62" w:rsidRDefault="004650EE" w:rsidP="004650EE">
            <w:pPr>
              <w:spacing w:after="0" w:line="240" w:lineRule="auto"/>
              <w:jc w:val="right"/>
              <w:rPr>
                <w:rFonts w:eastAsia="Times New Roman" w:cs="Arial"/>
                <w:color w:val="000000"/>
                <w:szCs w:val="20"/>
                <w:lang w:eastAsia="es-CR"/>
              </w:rPr>
            </w:pPr>
            <w:r w:rsidRPr="00A8623F">
              <w:t xml:space="preserve"> 350.00 </w:t>
            </w:r>
          </w:p>
        </w:tc>
      </w:tr>
      <w:tr w:rsidR="004650EE" w:rsidRPr="00382A62" w14:paraId="78BDD08B" w14:textId="77777777" w:rsidTr="00613F07">
        <w:trPr>
          <w:trHeight w:val="431"/>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0CB21964" w14:textId="3A92BD31" w:rsidR="004650EE" w:rsidRPr="00382A62" w:rsidRDefault="004650EE" w:rsidP="004650EE">
            <w:pPr>
              <w:spacing w:after="0" w:line="240" w:lineRule="auto"/>
              <w:jc w:val="left"/>
              <w:rPr>
                <w:rFonts w:eastAsia="Times New Roman" w:cs="Arial"/>
                <w:color w:val="000000"/>
                <w:szCs w:val="20"/>
                <w:lang w:eastAsia="es-CR"/>
              </w:rPr>
            </w:pPr>
            <w:r w:rsidRPr="00A8623F">
              <w:t>Fidelidad</w:t>
            </w:r>
          </w:p>
        </w:tc>
        <w:tc>
          <w:tcPr>
            <w:tcW w:w="5528" w:type="dxa"/>
            <w:tcBorders>
              <w:top w:val="nil"/>
              <w:left w:val="nil"/>
              <w:bottom w:val="single" w:sz="8" w:space="0" w:color="A6A6A6"/>
              <w:right w:val="single" w:sz="8" w:space="0" w:color="A6A6A6"/>
            </w:tcBorders>
            <w:shd w:val="clear" w:color="000000" w:fill="FFFFFF"/>
            <w:hideMark/>
          </w:tcPr>
          <w:p w14:paraId="2784B7D8" w14:textId="455E4450" w:rsidR="004650EE" w:rsidRPr="00382A62" w:rsidRDefault="004650EE" w:rsidP="004650EE">
            <w:pPr>
              <w:spacing w:after="0" w:line="240" w:lineRule="auto"/>
              <w:jc w:val="left"/>
              <w:rPr>
                <w:rFonts w:eastAsia="Times New Roman" w:cs="Arial"/>
                <w:color w:val="000000"/>
                <w:szCs w:val="20"/>
                <w:lang w:eastAsia="es-CR"/>
              </w:rPr>
            </w:pPr>
            <w:r w:rsidRPr="00A8623F">
              <w:t>Fianza de Fidelidad</w:t>
            </w:r>
          </w:p>
        </w:tc>
        <w:tc>
          <w:tcPr>
            <w:tcW w:w="1549" w:type="dxa"/>
            <w:tcBorders>
              <w:top w:val="nil"/>
              <w:left w:val="nil"/>
              <w:bottom w:val="single" w:sz="8" w:space="0" w:color="A6A6A6"/>
              <w:right w:val="single" w:sz="8" w:space="0" w:color="A6A6A6"/>
            </w:tcBorders>
            <w:shd w:val="clear" w:color="000000" w:fill="FFFFFF"/>
            <w:hideMark/>
          </w:tcPr>
          <w:p w14:paraId="387B9988" w14:textId="6D41FC52" w:rsidR="004650EE" w:rsidRPr="00382A62" w:rsidRDefault="004650EE" w:rsidP="004650EE">
            <w:pPr>
              <w:spacing w:after="0" w:line="240" w:lineRule="auto"/>
              <w:jc w:val="right"/>
              <w:rPr>
                <w:rFonts w:eastAsia="Times New Roman" w:cs="Arial"/>
                <w:color w:val="000000"/>
                <w:szCs w:val="20"/>
                <w:lang w:eastAsia="es-CR"/>
              </w:rPr>
            </w:pPr>
            <w:r w:rsidRPr="00A8623F">
              <w:t xml:space="preserve"> 11.29 </w:t>
            </w:r>
          </w:p>
        </w:tc>
      </w:tr>
      <w:tr w:rsidR="004650EE" w:rsidRPr="00382A62" w14:paraId="3C07AF5C" w14:textId="77777777" w:rsidTr="00613F07">
        <w:trPr>
          <w:trHeight w:val="512"/>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24F6520B" w14:textId="3786696F" w:rsidR="004650EE" w:rsidRPr="00382A62" w:rsidRDefault="004650EE" w:rsidP="004650EE">
            <w:pPr>
              <w:spacing w:after="0" w:line="240" w:lineRule="auto"/>
              <w:jc w:val="left"/>
              <w:rPr>
                <w:rFonts w:eastAsia="Times New Roman" w:cs="Arial"/>
                <w:color w:val="000000"/>
                <w:szCs w:val="20"/>
                <w:lang w:eastAsia="es-CR"/>
              </w:rPr>
            </w:pPr>
            <w:r w:rsidRPr="00A8623F">
              <w:t>Básica de Accidentes</w:t>
            </w:r>
          </w:p>
        </w:tc>
        <w:tc>
          <w:tcPr>
            <w:tcW w:w="5528" w:type="dxa"/>
            <w:tcBorders>
              <w:top w:val="nil"/>
              <w:left w:val="nil"/>
              <w:bottom w:val="single" w:sz="8" w:space="0" w:color="A6A6A6"/>
              <w:right w:val="single" w:sz="8" w:space="0" w:color="A6A6A6"/>
            </w:tcBorders>
            <w:shd w:val="clear" w:color="000000" w:fill="FFFFFF"/>
            <w:hideMark/>
          </w:tcPr>
          <w:p w14:paraId="18B6390E" w14:textId="7E085367" w:rsidR="004650EE" w:rsidRPr="00382A62" w:rsidRDefault="004650EE" w:rsidP="004650EE">
            <w:pPr>
              <w:spacing w:after="0" w:line="240" w:lineRule="auto"/>
              <w:jc w:val="left"/>
              <w:rPr>
                <w:rFonts w:eastAsia="Times New Roman" w:cs="Arial"/>
                <w:color w:val="000000"/>
                <w:szCs w:val="20"/>
                <w:lang w:eastAsia="es-CR"/>
              </w:rPr>
            </w:pPr>
            <w:r w:rsidRPr="00A8623F">
              <w:t>Participación de terceros en voluntariados</w:t>
            </w:r>
          </w:p>
        </w:tc>
        <w:tc>
          <w:tcPr>
            <w:tcW w:w="1549" w:type="dxa"/>
            <w:tcBorders>
              <w:top w:val="nil"/>
              <w:left w:val="nil"/>
              <w:bottom w:val="single" w:sz="8" w:space="0" w:color="A6A6A6"/>
              <w:right w:val="single" w:sz="8" w:space="0" w:color="A6A6A6"/>
            </w:tcBorders>
            <w:shd w:val="clear" w:color="000000" w:fill="FFFFFF"/>
            <w:hideMark/>
          </w:tcPr>
          <w:p w14:paraId="1884DC64" w14:textId="34A0797A" w:rsidR="004650EE" w:rsidRPr="00382A62" w:rsidRDefault="004650EE" w:rsidP="004650EE">
            <w:pPr>
              <w:spacing w:after="0" w:line="240" w:lineRule="auto"/>
              <w:jc w:val="right"/>
              <w:rPr>
                <w:rFonts w:eastAsia="Times New Roman" w:cs="Arial"/>
                <w:color w:val="000000"/>
                <w:szCs w:val="20"/>
                <w:lang w:eastAsia="es-CR"/>
              </w:rPr>
            </w:pPr>
            <w:r w:rsidRPr="00A8623F">
              <w:t xml:space="preserve"> 5.50 </w:t>
            </w:r>
          </w:p>
        </w:tc>
      </w:tr>
      <w:tr w:rsidR="00E41659" w:rsidRPr="00382A62" w14:paraId="7BC93057" w14:textId="77777777" w:rsidTr="004F0C72">
        <w:trPr>
          <w:trHeight w:val="395"/>
          <w:jc w:val="center"/>
        </w:trPr>
        <w:tc>
          <w:tcPr>
            <w:tcW w:w="7147"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4D5687AD" w14:textId="77777777" w:rsidR="00E41659" w:rsidRPr="00382A62" w:rsidRDefault="00E41659" w:rsidP="00E41659">
            <w:pPr>
              <w:spacing w:after="0" w:line="240" w:lineRule="auto"/>
              <w:jc w:val="left"/>
              <w:rPr>
                <w:rFonts w:eastAsia="Times New Roman" w:cs="Arial"/>
                <w:b/>
                <w:bCs/>
                <w:color w:val="000000"/>
                <w:szCs w:val="20"/>
                <w:lang w:eastAsia="es-CR"/>
              </w:rPr>
            </w:pPr>
            <w:r w:rsidRPr="00382A62">
              <w:rPr>
                <w:rFonts w:eastAsia="Times New Roman" w:cs="Arial"/>
                <w:b/>
                <w:bCs/>
                <w:color w:val="000000"/>
                <w:szCs w:val="20"/>
                <w:lang w:eastAsia="es-CR"/>
              </w:rPr>
              <w:t>Monto Total Asegurado en Colones</w:t>
            </w:r>
          </w:p>
        </w:tc>
        <w:tc>
          <w:tcPr>
            <w:tcW w:w="1549" w:type="dxa"/>
            <w:tcBorders>
              <w:top w:val="nil"/>
              <w:left w:val="nil"/>
              <w:bottom w:val="single" w:sz="8" w:space="0" w:color="A6A6A6"/>
              <w:right w:val="single" w:sz="8" w:space="0" w:color="A6A6A6"/>
            </w:tcBorders>
            <w:shd w:val="clear" w:color="000000" w:fill="FFFFFF"/>
            <w:vAlign w:val="center"/>
            <w:hideMark/>
          </w:tcPr>
          <w:p w14:paraId="0D9DDA37" w14:textId="08E82579" w:rsidR="00E41659" w:rsidRPr="00382A62" w:rsidRDefault="003E28E1" w:rsidP="00622AB9">
            <w:pPr>
              <w:spacing w:after="0" w:line="240" w:lineRule="auto"/>
              <w:jc w:val="right"/>
              <w:rPr>
                <w:rFonts w:eastAsia="Times New Roman" w:cs="Arial"/>
                <w:b/>
                <w:bCs/>
                <w:color w:val="000000"/>
                <w:szCs w:val="20"/>
                <w:lang w:eastAsia="es-CR"/>
              </w:rPr>
            </w:pPr>
            <w:r w:rsidRPr="00382A62">
              <w:rPr>
                <w:rFonts w:eastAsia="Times New Roman" w:cs="Arial"/>
                <w:b/>
                <w:bCs/>
                <w:color w:val="000000"/>
                <w:szCs w:val="20"/>
                <w:lang w:eastAsia="es-CR"/>
              </w:rPr>
              <w:t>905,379.13</w:t>
            </w:r>
          </w:p>
        </w:tc>
      </w:tr>
    </w:tbl>
    <w:p w14:paraId="70507AEE" w14:textId="4832F568" w:rsidR="007605E6" w:rsidRPr="00382A62" w:rsidRDefault="00FC6873" w:rsidP="00622AB9">
      <w:pPr>
        <w:pStyle w:val="Descripcin"/>
        <w:tabs>
          <w:tab w:val="left" w:pos="8280"/>
        </w:tabs>
        <w:jc w:val="left"/>
        <w:rPr>
          <w:rFonts w:cs="Arial"/>
          <w:szCs w:val="20"/>
        </w:rPr>
      </w:pPr>
      <w:r>
        <w:rPr>
          <w:rFonts w:cs="Arial"/>
          <w:szCs w:val="20"/>
        </w:rPr>
        <w:tab/>
      </w:r>
    </w:p>
    <w:p w14:paraId="12C19537" w14:textId="77777777" w:rsidR="00515C66" w:rsidRDefault="00515C66" w:rsidP="00C806A3">
      <w:pPr>
        <w:pStyle w:val="Descripcin"/>
        <w:rPr>
          <w:rFonts w:cs="Arial"/>
          <w:szCs w:val="20"/>
        </w:rPr>
      </w:pPr>
    </w:p>
    <w:p w14:paraId="3D1F807F" w14:textId="77777777" w:rsidR="00C475C0" w:rsidRPr="00C475C0" w:rsidRDefault="00C475C0" w:rsidP="00C475C0"/>
    <w:p w14:paraId="5F508F39" w14:textId="77777777" w:rsidR="00515C66" w:rsidRDefault="00515C66" w:rsidP="00C806A3">
      <w:pPr>
        <w:pStyle w:val="Descripcin"/>
        <w:rPr>
          <w:rFonts w:cs="Arial"/>
          <w:szCs w:val="20"/>
        </w:rPr>
      </w:pPr>
    </w:p>
    <w:p w14:paraId="0E8EBB57" w14:textId="27861E99" w:rsidR="007605E6" w:rsidRPr="00382A62" w:rsidRDefault="007605E6" w:rsidP="00C806A3">
      <w:pPr>
        <w:pStyle w:val="Descripcin"/>
        <w:rPr>
          <w:rFonts w:cs="Arial"/>
          <w:szCs w:val="20"/>
        </w:rPr>
      </w:pPr>
      <w:bookmarkStart w:id="58" w:name="_Toc169624703"/>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7</w:t>
      </w:r>
      <w:r w:rsidR="00423C23" w:rsidRPr="00382A62">
        <w:rPr>
          <w:rFonts w:cs="Arial"/>
          <w:noProof/>
          <w:szCs w:val="20"/>
        </w:rPr>
        <w:fldChar w:fldCharType="end"/>
      </w:r>
      <w:r w:rsidRPr="00382A62">
        <w:rPr>
          <w:rFonts w:cs="Arial"/>
          <w:szCs w:val="20"/>
        </w:rPr>
        <w:t xml:space="preserve"> - Detalle de las pólizas de seguros, así como los montos asegurados – Guatemala</w:t>
      </w:r>
      <w:bookmarkEnd w:id="58"/>
    </w:p>
    <w:tbl>
      <w:tblPr>
        <w:tblW w:w="8615" w:type="dxa"/>
        <w:jc w:val="center"/>
        <w:tblLayout w:type="fixed"/>
        <w:tblCellMar>
          <w:left w:w="70" w:type="dxa"/>
          <w:right w:w="70" w:type="dxa"/>
        </w:tblCellMar>
        <w:tblLook w:val="04A0" w:firstRow="1" w:lastRow="0" w:firstColumn="1" w:lastColumn="0" w:noHBand="0" w:noVBand="1"/>
      </w:tblPr>
      <w:tblGrid>
        <w:gridCol w:w="1975"/>
        <w:gridCol w:w="4961"/>
        <w:gridCol w:w="1679"/>
      </w:tblGrid>
      <w:tr w:rsidR="005C68F1" w:rsidRPr="00382A62" w14:paraId="600A9893" w14:textId="77777777" w:rsidTr="005C68F1">
        <w:trPr>
          <w:trHeight w:val="315"/>
          <w:jc w:val="center"/>
        </w:trPr>
        <w:tc>
          <w:tcPr>
            <w:tcW w:w="1975"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14B5B287"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Tipo de Póliza</w:t>
            </w:r>
          </w:p>
        </w:tc>
        <w:tc>
          <w:tcPr>
            <w:tcW w:w="4961"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198EA82E"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Bienes Asegurados</w:t>
            </w:r>
          </w:p>
        </w:tc>
        <w:tc>
          <w:tcPr>
            <w:tcW w:w="1679" w:type="dxa"/>
            <w:tcBorders>
              <w:top w:val="single" w:sz="8" w:space="0" w:color="A6A6A6"/>
              <w:left w:val="nil"/>
              <w:bottom w:val="single" w:sz="8" w:space="0" w:color="A6A6A6"/>
              <w:right w:val="single" w:sz="8" w:space="0" w:color="A6A6A6"/>
            </w:tcBorders>
            <w:shd w:val="clear" w:color="000000" w:fill="D9D9D9"/>
            <w:vAlign w:val="center"/>
            <w:hideMark/>
          </w:tcPr>
          <w:p w14:paraId="191BF173" w14:textId="23777699"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202</w:t>
            </w:r>
            <w:r w:rsidR="00B751F1" w:rsidRPr="00382A62">
              <w:rPr>
                <w:rFonts w:eastAsia="Times New Roman" w:cs="Arial"/>
                <w:b/>
                <w:bCs/>
                <w:color w:val="000000"/>
                <w:szCs w:val="20"/>
                <w:lang w:eastAsia="es-CR"/>
              </w:rPr>
              <w:t>2</w:t>
            </w:r>
            <w:r w:rsidRPr="00382A62">
              <w:rPr>
                <w:rFonts w:eastAsia="Times New Roman" w:cs="Arial"/>
                <w:b/>
                <w:bCs/>
                <w:color w:val="000000"/>
                <w:szCs w:val="20"/>
                <w:lang w:eastAsia="es-CR"/>
              </w:rPr>
              <w:t>-202</w:t>
            </w:r>
            <w:r w:rsidR="00B751F1" w:rsidRPr="00382A62">
              <w:rPr>
                <w:rFonts w:eastAsia="Times New Roman" w:cs="Arial"/>
                <w:b/>
                <w:bCs/>
                <w:color w:val="000000"/>
                <w:szCs w:val="20"/>
                <w:lang w:eastAsia="es-CR"/>
              </w:rPr>
              <w:t>3</w:t>
            </w:r>
          </w:p>
        </w:tc>
      </w:tr>
      <w:tr w:rsidR="005C68F1" w:rsidRPr="00382A62" w14:paraId="567D83D0" w14:textId="77777777" w:rsidTr="005C68F1">
        <w:trPr>
          <w:trHeight w:val="315"/>
          <w:jc w:val="center"/>
        </w:trPr>
        <w:tc>
          <w:tcPr>
            <w:tcW w:w="1975" w:type="dxa"/>
            <w:vMerge/>
            <w:tcBorders>
              <w:top w:val="single" w:sz="8" w:space="0" w:color="A6A6A6"/>
              <w:left w:val="single" w:sz="8" w:space="0" w:color="A6A6A6"/>
              <w:bottom w:val="single" w:sz="8" w:space="0" w:color="A6A6A6"/>
              <w:right w:val="single" w:sz="8" w:space="0" w:color="A6A6A6"/>
            </w:tcBorders>
            <w:vAlign w:val="center"/>
            <w:hideMark/>
          </w:tcPr>
          <w:p w14:paraId="118C2A67" w14:textId="77777777" w:rsidR="005C68F1" w:rsidRPr="00382A62" w:rsidRDefault="005C68F1" w:rsidP="007D00B2">
            <w:pPr>
              <w:spacing w:after="0" w:line="240" w:lineRule="auto"/>
              <w:jc w:val="left"/>
              <w:rPr>
                <w:rFonts w:eastAsia="Times New Roman" w:cs="Arial"/>
                <w:b/>
                <w:bCs/>
                <w:color w:val="000000"/>
                <w:szCs w:val="20"/>
                <w:lang w:eastAsia="es-CR"/>
              </w:rPr>
            </w:pPr>
          </w:p>
        </w:tc>
        <w:tc>
          <w:tcPr>
            <w:tcW w:w="4961" w:type="dxa"/>
            <w:vMerge/>
            <w:tcBorders>
              <w:top w:val="single" w:sz="8" w:space="0" w:color="A6A6A6"/>
              <w:left w:val="single" w:sz="8" w:space="0" w:color="A6A6A6"/>
              <w:bottom w:val="single" w:sz="8" w:space="0" w:color="A6A6A6"/>
              <w:right w:val="single" w:sz="8" w:space="0" w:color="A6A6A6"/>
            </w:tcBorders>
            <w:vAlign w:val="center"/>
            <w:hideMark/>
          </w:tcPr>
          <w:p w14:paraId="49437394" w14:textId="77777777" w:rsidR="005C68F1" w:rsidRPr="00382A62" w:rsidRDefault="005C68F1" w:rsidP="007D00B2">
            <w:pPr>
              <w:spacing w:after="0" w:line="240" w:lineRule="auto"/>
              <w:jc w:val="left"/>
              <w:rPr>
                <w:rFonts w:eastAsia="Times New Roman" w:cs="Arial"/>
                <w:b/>
                <w:bCs/>
                <w:color w:val="000000"/>
                <w:szCs w:val="20"/>
                <w:lang w:eastAsia="es-CR"/>
              </w:rPr>
            </w:pPr>
          </w:p>
        </w:tc>
        <w:tc>
          <w:tcPr>
            <w:tcW w:w="1679" w:type="dxa"/>
            <w:tcBorders>
              <w:top w:val="nil"/>
              <w:left w:val="nil"/>
              <w:bottom w:val="single" w:sz="8" w:space="0" w:color="A6A6A6"/>
              <w:right w:val="single" w:sz="8" w:space="0" w:color="A6A6A6"/>
            </w:tcBorders>
            <w:shd w:val="clear" w:color="000000" w:fill="D9D9D9"/>
            <w:vAlign w:val="center"/>
            <w:hideMark/>
          </w:tcPr>
          <w:p w14:paraId="4AFFE83F"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(En Millones de Colones)</w:t>
            </w:r>
          </w:p>
        </w:tc>
      </w:tr>
      <w:tr w:rsidR="00B53298" w:rsidRPr="00382A62" w14:paraId="544B60D1" w14:textId="77777777" w:rsidTr="00D43D6A">
        <w:trPr>
          <w:trHeight w:val="494"/>
          <w:jc w:val="center"/>
        </w:trPr>
        <w:tc>
          <w:tcPr>
            <w:tcW w:w="1975" w:type="dxa"/>
            <w:tcBorders>
              <w:top w:val="nil"/>
              <w:left w:val="single" w:sz="8" w:space="0" w:color="A6A6A6"/>
              <w:bottom w:val="single" w:sz="8" w:space="0" w:color="A6A6A6"/>
              <w:right w:val="single" w:sz="8" w:space="0" w:color="A6A6A6"/>
            </w:tcBorders>
            <w:shd w:val="clear" w:color="000000" w:fill="FFFFFF"/>
            <w:hideMark/>
          </w:tcPr>
          <w:p w14:paraId="2836B4FB" w14:textId="7926345C" w:rsidR="00B53298" w:rsidRPr="00382A62" w:rsidRDefault="00B53298" w:rsidP="00B53298">
            <w:pPr>
              <w:spacing w:after="0" w:line="240" w:lineRule="auto"/>
              <w:jc w:val="left"/>
              <w:rPr>
                <w:rFonts w:eastAsia="Times New Roman" w:cs="Arial"/>
                <w:color w:val="000000"/>
                <w:szCs w:val="20"/>
                <w:lang w:eastAsia="es-CR"/>
              </w:rPr>
            </w:pPr>
            <w:r w:rsidRPr="009C63D6">
              <w:t>Todo Riesgo Daño Físico</w:t>
            </w:r>
          </w:p>
        </w:tc>
        <w:tc>
          <w:tcPr>
            <w:tcW w:w="4961" w:type="dxa"/>
            <w:tcBorders>
              <w:top w:val="nil"/>
              <w:left w:val="nil"/>
              <w:bottom w:val="single" w:sz="8" w:space="0" w:color="A6A6A6"/>
              <w:right w:val="single" w:sz="8" w:space="0" w:color="A6A6A6"/>
            </w:tcBorders>
            <w:shd w:val="clear" w:color="000000" w:fill="FFFFFF"/>
            <w:hideMark/>
          </w:tcPr>
          <w:p w14:paraId="55C9C2AB" w14:textId="0A6C83A8" w:rsidR="00B53298" w:rsidRPr="00382A62" w:rsidRDefault="00B53298" w:rsidP="00B53298">
            <w:pPr>
              <w:spacing w:after="0" w:line="240" w:lineRule="auto"/>
              <w:jc w:val="left"/>
              <w:rPr>
                <w:rFonts w:eastAsia="Times New Roman" w:cs="Arial"/>
                <w:color w:val="000000"/>
                <w:szCs w:val="20"/>
                <w:lang w:eastAsia="es-CR"/>
              </w:rPr>
            </w:pPr>
            <w:r w:rsidRPr="009C63D6">
              <w:t>Edificios, mejoras a terrenos, obras de arte, herramientas, muebles y enseres, obras en proceso, maquinaria y equipo</w:t>
            </w:r>
          </w:p>
        </w:tc>
        <w:tc>
          <w:tcPr>
            <w:tcW w:w="1679" w:type="dxa"/>
            <w:tcBorders>
              <w:top w:val="nil"/>
              <w:left w:val="nil"/>
              <w:bottom w:val="single" w:sz="8" w:space="0" w:color="A6A6A6"/>
              <w:right w:val="single" w:sz="8" w:space="0" w:color="A6A6A6"/>
            </w:tcBorders>
            <w:shd w:val="clear" w:color="000000" w:fill="FFFFFF"/>
            <w:hideMark/>
          </w:tcPr>
          <w:p w14:paraId="401A841F" w14:textId="1E88795C" w:rsidR="00B53298" w:rsidRPr="00382A62" w:rsidRDefault="00B53298" w:rsidP="00B53298">
            <w:pPr>
              <w:spacing w:after="0" w:line="240" w:lineRule="auto"/>
              <w:jc w:val="right"/>
              <w:rPr>
                <w:rFonts w:eastAsia="Times New Roman" w:cs="Arial"/>
                <w:color w:val="000000"/>
                <w:szCs w:val="20"/>
                <w:lang w:eastAsia="es-CR"/>
              </w:rPr>
            </w:pPr>
            <w:r w:rsidRPr="009C63D6">
              <w:t xml:space="preserve"> 78,095.68 </w:t>
            </w:r>
          </w:p>
        </w:tc>
      </w:tr>
      <w:tr w:rsidR="00B53298" w:rsidRPr="00382A62" w14:paraId="12374F2F" w14:textId="77777777" w:rsidTr="00D43D6A">
        <w:trPr>
          <w:trHeight w:val="531"/>
          <w:jc w:val="center"/>
        </w:trPr>
        <w:tc>
          <w:tcPr>
            <w:tcW w:w="1975" w:type="dxa"/>
            <w:tcBorders>
              <w:top w:val="nil"/>
              <w:left w:val="single" w:sz="8" w:space="0" w:color="A6A6A6"/>
              <w:bottom w:val="single" w:sz="8" w:space="0" w:color="A6A6A6"/>
              <w:right w:val="single" w:sz="8" w:space="0" w:color="A6A6A6"/>
            </w:tcBorders>
            <w:shd w:val="clear" w:color="000000" w:fill="FFFFFF"/>
            <w:noWrap/>
            <w:hideMark/>
          </w:tcPr>
          <w:p w14:paraId="6ACE1DAC" w14:textId="6683E397" w:rsidR="00B53298" w:rsidRPr="00382A62" w:rsidRDefault="00B53298" w:rsidP="00B53298">
            <w:pPr>
              <w:spacing w:after="0" w:line="240" w:lineRule="auto"/>
              <w:jc w:val="left"/>
              <w:rPr>
                <w:rFonts w:eastAsia="Times New Roman" w:cs="Arial"/>
                <w:color w:val="000000"/>
                <w:szCs w:val="20"/>
                <w:lang w:eastAsia="es-CR"/>
              </w:rPr>
            </w:pPr>
            <w:r w:rsidRPr="009C63D6">
              <w:t>Responsabilidad Civil General</w:t>
            </w:r>
          </w:p>
        </w:tc>
        <w:tc>
          <w:tcPr>
            <w:tcW w:w="4961" w:type="dxa"/>
            <w:tcBorders>
              <w:top w:val="nil"/>
              <w:left w:val="nil"/>
              <w:bottom w:val="single" w:sz="8" w:space="0" w:color="A6A6A6"/>
              <w:right w:val="single" w:sz="8" w:space="0" w:color="A6A6A6"/>
            </w:tcBorders>
            <w:shd w:val="clear" w:color="000000" w:fill="FFFFFF"/>
            <w:hideMark/>
          </w:tcPr>
          <w:p w14:paraId="005530F8" w14:textId="748488BF" w:rsidR="00B53298" w:rsidRPr="00382A62" w:rsidRDefault="00B53298" w:rsidP="00B53298">
            <w:pPr>
              <w:spacing w:after="0" w:line="240" w:lineRule="auto"/>
              <w:jc w:val="left"/>
              <w:rPr>
                <w:rFonts w:eastAsia="Times New Roman" w:cs="Arial"/>
                <w:color w:val="000000"/>
                <w:szCs w:val="20"/>
                <w:lang w:eastAsia="es-CR"/>
              </w:rPr>
            </w:pPr>
            <w:r w:rsidRPr="009C63D6">
              <w:t>Materias primas, material de empaque, repuestos, productos importados</w:t>
            </w:r>
          </w:p>
        </w:tc>
        <w:tc>
          <w:tcPr>
            <w:tcW w:w="1679" w:type="dxa"/>
            <w:tcBorders>
              <w:top w:val="nil"/>
              <w:left w:val="nil"/>
              <w:bottom w:val="single" w:sz="8" w:space="0" w:color="A6A6A6"/>
              <w:right w:val="single" w:sz="8" w:space="0" w:color="A6A6A6"/>
            </w:tcBorders>
            <w:shd w:val="clear" w:color="000000" w:fill="FFFFFF"/>
            <w:hideMark/>
          </w:tcPr>
          <w:p w14:paraId="5C3256C3" w14:textId="726D07F2" w:rsidR="00B53298" w:rsidRPr="00382A62" w:rsidRDefault="00B53298" w:rsidP="00B53298">
            <w:pPr>
              <w:spacing w:after="0" w:line="240" w:lineRule="auto"/>
              <w:jc w:val="right"/>
              <w:rPr>
                <w:rFonts w:eastAsia="Times New Roman" w:cs="Arial"/>
                <w:color w:val="000000"/>
                <w:szCs w:val="20"/>
                <w:lang w:eastAsia="es-CR"/>
              </w:rPr>
            </w:pPr>
            <w:r w:rsidRPr="009C63D6">
              <w:t xml:space="preserve"> 59,828.59 </w:t>
            </w:r>
          </w:p>
        </w:tc>
      </w:tr>
      <w:tr w:rsidR="00B53298" w:rsidRPr="00382A62" w14:paraId="24617DBA" w14:textId="77777777" w:rsidTr="00D43D6A">
        <w:trPr>
          <w:trHeight w:val="552"/>
          <w:jc w:val="center"/>
        </w:trPr>
        <w:tc>
          <w:tcPr>
            <w:tcW w:w="1975" w:type="dxa"/>
            <w:tcBorders>
              <w:top w:val="nil"/>
              <w:left w:val="single" w:sz="8" w:space="0" w:color="A6A6A6"/>
              <w:bottom w:val="single" w:sz="8" w:space="0" w:color="A6A6A6"/>
              <w:right w:val="single" w:sz="8" w:space="0" w:color="A6A6A6"/>
            </w:tcBorders>
            <w:shd w:val="clear" w:color="000000" w:fill="FFFFFF"/>
            <w:noWrap/>
            <w:hideMark/>
          </w:tcPr>
          <w:p w14:paraId="6EE57777" w14:textId="5978B35E" w:rsidR="00B53298" w:rsidRPr="00382A62" w:rsidRDefault="00B53298" w:rsidP="00B53298">
            <w:pPr>
              <w:spacing w:after="0" w:line="240" w:lineRule="auto"/>
              <w:jc w:val="left"/>
              <w:rPr>
                <w:rFonts w:eastAsia="Times New Roman" w:cs="Arial"/>
                <w:color w:val="000000"/>
                <w:szCs w:val="20"/>
                <w:lang w:eastAsia="es-CR"/>
              </w:rPr>
            </w:pPr>
            <w:r w:rsidRPr="009C63D6">
              <w:t>Responsabilidad Civil Umbrella</w:t>
            </w:r>
          </w:p>
        </w:tc>
        <w:tc>
          <w:tcPr>
            <w:tcW w:w="4961" w:type="dxa"/>
            <w:tcBorders>
              <w:top w:val="nil"/>
              <w:left w:val="nil"/>
              <w:bottom w:val="single" w:sz="8" w:space="0" w:color="A6A6A6"/>
              <w:right w:val="single" w:sz="8" w:space="0" w:color="A6A6A6"/>
            </w:tcBorders>
            <w:shd w:val="clear" w:color="000000" w:fill="FFFFFF"/>
            <w:hideMark/>
          </w:tcPr>
          <w:p w14:paraId="742515AD" w14:textId="5E63A26E" w:rsidR="00B53298" w:rsidRPr="00382A62" w:rsidRDefault="00B53298" w:rsidP="00B53298">
            <w:pPr>
              <w:spacing w:after="0" w:line="240" w:lineRule="auto"/>
              <w:jc w:val="left"/>
              <w:rPr>
                <w:rFonts w:eastAsia="Times New Roman" w:cs="Arial"/>
                <w:color w:val="000000"/>
                <w:szCs w:val="20"/>
                <w:lang w:eastAsia="es-CR"/>
              </w:rPr>
            </w:pPr>
            <w:r w:rsidRPr="009C63D6">
              <w:t>Materias primas, material de empaque, repuestos, productos importados y de exportación</w:t>
            </w:r>
          </w:p>
        </w:tc>
        <w:tc>
          <w:tcPr>
            <w:tcW w:w="1679" w:type="dxa"/>
            <w:tcBorders>
              <w:top w:val="nil"/>
              <w:left w:val="nil"/>
              <w:bottom w:val="single" w:sz="8" w:space="0" w:color="A6A6A6"/>
              <w:right w:val="single" w:sz="8" w:space="0" w:color="A6A6A6"/>
            </w:tcBorders>
            <w:shd w:val="clear" w:color="000000" w:fill="FFFFFF"/>
            <w:hideMark/>
          </w:tcPr>
          <w:p w14:paraId="79253B51" w14:textId="5CA3CAD6" w:rsidR="00B53298" w:rsidRPr="00382A62" w:rsidRDefault="00B53298" w:rsidP="00B53298">
            <w:pPr>
              <w:spacing w:after="0" w:line="240" w:lineRule="auto"/>
              <w:jc w:val="right"/>
              <w:rPr>
                <w:rFonts w:eastAsia="Times New Roman" w:cs="Arial"/>
                <w:color w:val="000000"/>
                <w:szCs w:val="20"/>
                <w:lang w:eastAsia="es-CR"/>
              </w:rPr>
            </w:pPr>
            <w:r w:rsidRPr="009C63D6">
              <w:t xml:space="preserve"> 16,363.83 </w:t>
            </w:r>
          </w:p>
        </w:tc>
      </w:tr>
      <w:tr w:rsidR="00B53298" w:rsidRPr="00382A62" w14:paraId="565A0528" w14:textId="77777777" w:rsidTr="00D43D6A">
        <w:trPr>
          <w:trHeight w:val="561"/>
          <w:jc w:val="center"/>
        </w:trPr>
        <w:tc>
          <w:tcPr>
            <w:tcW w:w="1975" w:type="dxa"/>
            <w:tcBorders>
              <w:top w:val="nil"/>
              <w:left w:val="single" w:sz="8" w:space="0" w:color="A6A6A6"/>
              <w:bottom w:val="single" w:sz="8" w:space="0" w:color="A6A6A6"/>
              <w:right w:val="single" w:sz="8" w:space="0" w:color="A6A6A6"/>
            </w:tcBorders>
            <w:shd w:val="clear" w:color="000000" w:fill="FFFFFF"/>
            <w:noWrap/>
            <w:hideMark/>
          </w:tcPr>
          <w:p w14:paraId="4B21003E" w14:textId="053A317C" w:rsidR="00B53298" w:rsidRPr="00382A62" w:rsidRDefault="00B53298" w:rsidP="00B53298">
            <w:pPr>
              <w:spacing w:after="0" w:line="240" w:lineRule="auto"/>
              <w:jc w:val="left"/>
              <w:rPr>
                <w:rFonts w:eastAsia="Times New Roman" w:cs="Arial"/>
                <w:color w:val="000000"/>
                <w:szCs w:val="20"/>
                <w:lang w:eastAsia="es-CR"/>
              </w:rPr>
            </w:pPr>
            <w:r w:rsidRPr="009C63D6">
              <w:t>Carga, Importación y Exportación</w:t>
            </w:r>
          </w:p>
        </w:tc>
        <w:tc>
          <w:tcPr>
            <w:tcW w:w="4961" w:type="dxa"/>
            <w:tcBorders>
              <w:top w:val="nil"/>
              <w:left w:val="nil"/>
              <w:bottom w:val="single" w:sz="8" w:space="0" w:color="A6A6A6"/>
              <w:right w:val="single" w:sz="8" w:space="0" w:color="A6A6A6"/>
            </w:tcBorders>
            <w:shd w:val="clear" w:color="000000" w:fill="FFFFFF"/>
            <w:hideMark/>
          </w:tcPr>
          <w:p w14:paraId="4C1322CA" w14:textId="399B6C65" w:rsidR="00B53298" w:rsidRPr="00382A62" w:rsidRDefault="00B53298" w:rsidP="00B53298">
            <w:pPr>
              <w:spacing w:after="0" w:line="240" w:lineRule="auto"/>
              <w:jc w:val="left"/>
              <w:rPr>
                <w:rFonts w:eastAsia="Times New Roman" w:cs="Arial"/>
                <w:color w:val="000000"/>
                <w:szCs w:val="20"/>
                <w:lang w:eastAsia="es-CR"/>
              </w:rPr>
            </w:pPr>
            <w:r w:rsidRPr="009C63D6">
              <w:t>Producción, distribución y venta de los productos de la compañía en territorio nacional y en el extranjero</w:t>
            </w:r>
          </w:p>
        </w:tc>
        <w:tc>
          <w:tcPr>
            <w:tcW w:w="1679" w:type="dxa"/>
            <w:tcBorders>
              <w:top w:val="nil"/>
              <w:left w:val="nil"/>
              <w:bottom w:val="single" w:sz="8" w:space="0" w:color="A6A6A6"/>
              <w:right w:val="single" w:sz="8" w:space="0" w:color="A6A6A6"/>
            </w:tcBorders>
            <w:shd w:val="clear" w:color="000000" w:fill="FFFFFF"/>
            <w:hideMark/>
          </w:tcPr>
          <w:p w14:paraId="19511331" w14:textId="2A7D1F50" w:rsidR="00B53298" w:rsidRPr="00382A62" w:rsidRDefault="00B53298" w:rsidP="00B53298">
            <w:pPr>
              <w:spacing w:after="0" w:line="240" w:lineRule="auto"/>
              <w:jc w:val="right"/>
              <w:rPr>
                <w:rFonts w:eastAsia="Times New Roman" w:cs="Arial"/>
                <w:color w:val="000000"/>
                <w:szCs w:val="20"/>
                <w:lang w:eastAsia="es-CR"/>
              </w:rPr>
            </w:pPr>
            <w:r w:rsidRPr="009C63D6">
              <w:t xml:space="preserve"> 2,821.35 </w:t>
            </w:r>
          </w:p>
        </w:tc>
      </w:tr>
      <w:tr w:rsidR="00B53298" w:rsidRPr="00382A62" w14:paraId="54794128" w14:textId="77777777" w:rsidTr="00D43D6A">
        <w:trPr>
          <w:trHeight w:val="399"/>
          <w:jc w:val="center"/>
        </w:trPr>
        <w:tc>
          <w:tcPr>
            <w:tcW w:w="1975" w:type="dxa"/>
            <w:tcBorders>
              <w:top w:val="nil"/>
              <w:left w:val="single" w:sz="8" w:space="0" w:color="A6A6A6"/>
              <w:bottom w:val="single" w:sz="8" w:space="0" w:color="A6A6A6"/>
              <w:right w:val="single" w:sz="8" w:space="0" w:color="A6A6A6"/>
            </w:tcBorders>
            <w:shd w:val="clear" w:color="000000" w:fill="FFFFFF"/>
            <w:noWrap/>
            <w:hideMark/>
          </w:tcPr>
          <w:p w14:paraId="5684BEE0" w14:textId="7B9318B4" w:rsidR="00B53298" w:rsidRPr="00382A62" w:rsidRDefault="00B53298" w:rsidP="00B53298">
            <w:pPr>
              <w:spacing w:after="0" w:line="240" w:lineRule="auto"/>
              <w:jc w:val="left"/>
              <w:rPr>
                <w:rFonts w:eastAsia="Times New Roman" w:cs="Arial"/>
                <w:color w:val="000000"/>
                <w:szCs w:val="20"/>
                <w:lang w:eastAsia="es-CR"/>
              </w:rPr>
            </w:pPr>
            <w:r w:rsidRPr="009C63D6">
              <w:t>Flotilla de Vehículos</w:t>
            </w:r>
          </w:p>
        </w:tc>
        <w:tc>
          <w:tcPr>
            <w:tcW w:w="4961" w:type="dxa"/>
            <w:tcBorders>
              <w:top w:val="nil"/>
              <w:left w:val="nil"/>
              <w:bottom w:val="single" w:sz="8" w:space="0" w:color="A6A6A6"/>
              <w:right w:val="single" w:sz="8" w:space="0" w:color="A6A6A6"/>
            </w:tcBorders>
            <w:shd w:val="clear" w:color="000000" w:fill="FFFFFF"/>
            <w:hideMark/>
          </w:tcPr>
          <w:p w14:paraId="3D9B6E11" w14:textId="706FF38B" w:rsidR="00B53298" w:rsidRPr="00382A62" w:rsidRDefault="00B53298" w:rsidP="00B53298">
            <w:pPr>
              <w:spacing w:after="0" w:line="240" w:lineRule="auto"/>
              <w:jc w:val="left"/>
              <w:rPr>
                <w:rFonts w:eastAsia="Times New Roman" w:cs="Arial"/>
                <w:color w:val="000000"/>
                <w:szCs w:val="20"/>
                <w:lang w:eastAsia="es-CR"/>
              </w:rPr>
            </w:pPr>
            <w:r w:rsidRPr="009C63D6">
              <w:t>Vehículos propiedad de la compañía</w:t>
            </w:r>
          </w:p>
        </w:tc>
        <w:tc>
          <w:tcPr>
            <w:tcW w:w="1679" w:type="dxa"/>
            <w:tcBorders>
              <w:top w:val="nil"/>
              <w:left w:val="nil"/>
              <w:bottom w:val="single" w:sz="8" w:space="0" w:color="A6A6A6"/>
              <w:right w:val="single" w:sz="8" w:space="0" w:color="A6A6A6"/>
            </w:tcBorders>
            <w:shd w:val="clear" w:color="000000" w:fill="FFFFFF"/>
            <w:hideMark/>
          </w:tcPr>
          <w:p w14:paraId="6AF1ACA6" w14:textId="3728147F" w:rsidR="00B53298" w:rsidRPr="00382A62" w:rsidRDefault="00B53298" w:rsidP="00B53298">
            <w:pPr>
              <w:spacing w:after="0" w:line="240" w:lineRule="auto"/>
              <w:jc w:val="right"/>
              <w:rPr>
                <w:rFonts w:eastAsia="Times New Roman" w:cs="Arial"/>
                <w:color w:val="000000"/>
                <w:szCs w:val="20"/>
                <w:lang w:eastAsia="es-CR"/>
              </w:rPr>
            </w:pPr>
            <w:r w:rsidRPr="009C63D6">
              <w:t xml:space="preserve"> 1,284.49 </w:t>
            </w:r>
          </w:p>
        </w:tc>
      </w:tr>
      <w:tr w:rsidR="00B53298" w:rsidRPr="00382A62" w14:paraId="6D277ACB" w14:textId="77777777" w:rsidTr="00D43D6A">
        <w:trPr>
          <w:trHeight w:val="268"/>
          <w:jc w:val="center"/>
        </w:trPr>
        <w:tc>
          <w:tcPr>
            <w:tcW w:w="1975" w:type="dxa"/>
            <w:tcBorders>
              <w:top w:val="nil"/>
              <w:left w:val="single" w:sz="8" w:space="0" w:color="A6A6A6"/>
              <w:bottom w:val="single" w:sz="8" w:space="0" w:color="A6A6A6"/>
              <w:right w:val="single" w:sz="8" w:space="0" w:color="A6A6A6"/>
            </w:tcBorders>
            <w:shd w:val="clear" w:color="000000" w:fill="FFFFFF"/>
            <w:noWrap/>
            <w:hideMark/>
          </w:tcPr>
          <w:p w14:paraId="42973E61" w14:textId="01C4E0DE" w:rsidR="00B53298" w:rsidRPr="00382A62" w:rsidRDefault="00B53298" w:rsidP="00B53298">
            <w:pPr>
              <w:spacing w:after="0" w:line="240" w:lineRule="auto"/>
              <w:jc w:val="left"/>
              <w:rPr>
                <w:rFonts w:eastAsia="Times New Roman" w:cs="Arial"/>
                <w:color w:val="000000"/>
                <w:szCs w:val="20"/>
                <w:lang w:eastAsia="es-CR"/>
              </w:rPr>
            </w:pPr>
            <w:r w:rsidRPr="009C63D6">
              <w:t>Riesgo Nombrado</w:t>
            </w:r>
          </w:p>
        </w:tc>
        <w:tc>
          <w:tcPr>
            <w:tcW w:w="4961" w:type="dxa"/>
            <w:tcBorders>
              <w:top w:val="nil"/>
              <w:left w:val="nil"/>
              <w:bottom w:val="single" w:sz="8" w:space="0" w:color="A6A6A6"/>
              <w:right w:val="single" w:sz="8" w:space="0" w:color="A6A6A6"/>
            </w:tcBorders>
            <w:shd w:val="clear" w:color="000000" w:fill="FFFFFF"/>
            <w:hideMark/>
          </w:tcPr>
          <w:p w14:paraId="3F40E3D5" w14:textId="2B2C6DEE" w:rsidR="00B53298" w:rsidRPr="00382A62" w:rsidRDefault="00B53298" w:rsidP="00B53298">
            <w:pPr>
              <w:spacing w:after="0" w:line="240" w:lineRule="auto"/>
              <w:jc w:val="left"/>
              <w:rPr>
                <w:rFonts w:eastAsia="Times New Roman" w:cs="Arial"/>
                <w:color w:val="000000"/>
                <w:szCs w:val="20"/>
                <w:lang w:eastAsia="es-CR"/>
              </w:rPr>
            </w:pPr>
            <w:r w:rsidRPr="009C63D6">
              <w:t>Producción, distribución y venta de los productos de la compañía en territorio nacional y en el extranjero</w:t>
            </w:r>
          </w:p>
        </w:tc>
        <w:tc>
          <w:tcPr>
            <w:tcW w:w="1679" w:type="dxa"/>
            <w:tcBorders>
              <w:top w:val="nil"/>
              <w:left w:val="nil"/>
              <w:bottom w:val="single" w:sz="8" w:space="0" w:color="A6A6A6"/>
              <w:right w:val="single" w:sz="8" w:space="0" w:color="A6A6A6"/>
            </w:tcBorders>
            <w:shd w:val="clear" w:color="000000" w:fill="FFFFFF"/>
            <w:hideMark/>
          </w:tcPr>
          <w:p w14:paraId="0E8A5D3C" w14:textId="31974815" w:rsidR="00B53298" w:rsidRPr="00382A62" w:rsidRDefault="00B53298" w:rsidP="00B53298">
            <w:pPr>
              <w:spacing w:after="0" w:line="240" w:lineRule="auto"/>
              <w:jc w:val="right"/>
              <w:rPr>
                <w:rFonts w:eastAsia="Times New Roman" w:cs="Arial"/>
                <w:color w:val="000000"/>
                <w:szCs w:val="20"/>
                <w:lang w:eastAsia="es-CR"/>
              </w:rPr>
            </w:pPr>
            <w:r w:rsidRPr="009C63D6">
              <w:t xml:space="preserve"> 1,128.54 </w:t>
            </w:r>
          </w:p>
        </w:tc>
      </w:tr>
      <w:tr w:rsidR="00B53298" w:rsidRPr="00382A62" w14:paraId="485FB46F" w14:textId="77777777" w:rsidTr="00D43D6A">
        <w:trPr>
          <w:trHeight w:val="387"/>
          <w:jc w:val="center"/>
        </w:trPr>
        <w:tc>
          <w:tcPr>
            <w:tcW w:w="1975" w:type="dxa"/>
            <w:tcBorders>
              <w:top w:val="nil"/>
              <w:left w:val="single" w:sz="8" w:space="0" w:color="A6A6A6"/>
              <w:bottom w:val="single" w:sz="8" w:space="0" w:color="A6A6A6"/>
              <w:right w:val="single" w:sz="8" w:space="0" w:color="A6A6A6"/>
            </w:tcBorders>
            <w:shd w:val="clear" w:color="000000" w:fill="FFFFFF"/>
            <w:noWrap/>
            <w:hideMark/>
          </w:tcPr>
          <w:p w14:paraId="1E9EC033" w14:textId="24651E8C" w:rsidR="00B53298" w:rsidRPr="00382A62" w:rsidRDefault="00B53298" w:rsidP="00B53298">
            <w:pPr>
              <w:spacing w:after="0" w:line="240" w:lineRule="auto"/>
              <w:jc w:val="left"/>
              <w:rPr>
                <w:rFonts w:eastAsia="Times New Roman" w:cs="Arial"/>
                <w:color w:val="000000"/>
                <w:szCs w:val="20"/>
                <w:lang w:eastAsia="es-CR"/>
              </w:rPr>
            </w:pPr>
            <w:r w:rsidRPr="009C63D6">
              <w:t>Fidelidad</w:t>
            </w:r>
          </w:p>
        </w:tc>
        <w:tc>
          <w:tcPr>
            <w:tcW w:w="4961" w:type="dxa"/>
            <w:tcBorders>
              <w:top w:val="nil"/>
              <w:left w:val="nil"/>
              <w:bottom w:val="single" w:sz="8" w:space="0" w:color="A6A6A6"/>
              <w:right w:val="single" w:sz="8" w:space="0" w:color="A6A6A6"/>
            </w:tcBorders>
            <w:shd w:val="clear" w:color="000000" w:fill="FFFFFF"/>
            <w:hideMark/>
          </w:tcPr>
          <w:p w14:paraId="4B402125" w14:textId="173804EE" w:rsidR="00B53298" w:rsidRPr="00382A62" w:rsidRDefault="00B53298" w:rsidP="00B53298">
            <w:pPr>
              <w:spacing w:after="0" w:line="240" w:lineRule="auto"/>
              <w:jc w:val="left"/>
              <w:rPr>
                <w:rFonts w:eastAsia="Times New Roman" w:cs="Arial"/>
                <w:color w:val="000000"/>
                <w:szCs w:val="20"/>
                <w:lang w:eastAsia="es-CR"/>
              </w:rPr>
            </w:pPr>
            <w:r w:rsidRPr="009C63D6">
              <w:t>Fianza de Fidelidad</w:t>
            </w:r>
          </w:p>
        </w:tc>
        <w:tc>
          <w:tcPr>
            <w:tcW w:w="1679" w:type="dxa"/>
            <w:tcBorders>
              <w:top w:val="nil"/>
              <w:left w:val="nil"/>
              <w:bottom w:val="single" w:sz="8" w:space="0" w:color="A6A6A6"/>
              <w:right w:val="single" w:sz="8" w:space="0" w:color="A6A6A6"/>
            </w:tcBorders>
            <w:shd w:val="clear" w:color="000000" w:fill="FFFFFF"/>
            <w:hideMark/>
          </w:tcPr>
          <w:p w14:paraId="382D9952" w14:textId="3A6042CB" w:rsidR="00B53298" w:rsidRPr="00382A62" w:rsidRDefault="00B53298" w:rsidP="00B53298">
            <w:pPr>
              <w:spacing w:after="0" w:line="240" w:lineRule="auto"/>
              <w:jc w:val="right"/>
              <w:rPr>
                <w:rFonts w:eastAsia="Times New Roman" w:cs="Arial"/>
                <w:color w:val="000000"/>
                <w:szCs w:val="20"/>
                <w:lang w:eastAsia="es-CR"/>
              </w:rPr>
            </w:pPr>
            <w:r w:rsidRPr="009C63D6">
              <w:t xml:space="preserve"> 72.05 </w:t>
            </w:r>
          </w:p>
        </w:tc>
      </w:tr>
      <w:tr w:rsidR="005342BF" w:rsidRPr="00382A62" w14:paraId="4333B47A" w14:textId="77777777" w:rsidTr="00553B64">
        <w:trPr>
          <w:trHeight w:val="379"/>
          <w:jc w:val="center"/>
        </w:trPr>
        <w:tc>
          <w:tcPr>
            <w:tcW w:w="6936"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1A99D168" w14:textId="77777777" w:rsidR="005342BF" w:rsidRPr="00382A62" w:rsidRDefault="005342BF" w:rsidP="005342BF">
            <w:pPr>
              <w:spacing w:after="0" w:line="240" w:lineRule="auto"/>
              <w:jc w:val="left"/>
              <w:rPr>
                <w:rFonts w:eastAsia="Times New Roman" w:cs="Arial"/>
                <w:b/>
                <w:bCs/>
                <w:color w:val="000000"/>
                <w:szCs w:val="20"/>
                <w:lang w:eastAsia="es-CR"/>
              </w:rPr>
            </w:pPr>
            <w:r w:rsidRPr="00382A62">
              <w:rPr>
                <w:rFonts w:eastAsia="Times New Roman" w:cs="Arial"/>
                <w:b/>
                <w:bCs/>
                <w:color w:val="000000"/>
                <w:szCs w:val="20"/>
                <w:lang w:eastAsia="es-CR"/>
              </w:rPr>
              <w:t>Monto Total Asegurado en Colones</w:t>
            </w:r>
          </w:p>
        </w:tc>
        <w:tc>
          <w:tcPr>
            <w:tcW w:w="1679" w:type="dxa"/>
            <w:tcBorders>
              <w:top w:val="nil"/>
              <w:left w:val="nil"/>
              <w:bottom w:val="single" w:sz="8" w:space="0" w:color="A6A6A6"/>
              <w:right w:val="single" w:sz="8" w:space="0" w:color="A6A6A6"/>
            </w:tcBorders>
            <w:shd w:val="clear" w:color="auto" w:fill="auto"/>
            <w:vAlign w:val="center"/>
            <w:hideMark/>
          </w:tcPr>
          <w:p w14:paraId="084B1365" w14:textId="343B28BB" w:rsidR="005342BF" w:rsidRPr="00382A62" w:rsidRDefault="008C463F" w:rsidP="00622AB9">
            <w:pPr>
              <w:spacing w:after="0" w:line="240" w:lineRule="auto"/>
              <w:jc w:val="right"/>
              <w:rPr>
                <w:rFonts w:eastAsia="Times New Roman" w:cs="Arial"/>
                <w:b/>
                <w:bCs/>
                <w:color w:val="000000"/>
                <w:szCs w:val="20"/>
                <w:lang w:eastAsia="es-CR"/>
              </w:rPr>
            </w:pPr>
            <w:r w:rsidRPr="008C463F">
              <w:rPr>
                <w:rFonts w:eastAsia="Times New Roman" w:cs="Arial"/>
                <w:b/>
                <w:bCs/>
                <w:color w:val="000000"/>
                <w:szCs w:val="20"/>
                <w:lang w:eastAsia="es-CR"/>
              </w:rPr>
              <w:t>159,594.53</w:t>
            </w:r>
          </w:p>
        </w:tc>
      </w:tr>
    </w:tbl>
    <w:p w14:paraId="319F7B4C" w14:textId="77777777" w:rsidR="007605E6" w:rsidRPr="00382A62" w:rsidRDefault="007605E6" w:rsidP="007605E6">
      <w:pPr>
        <w:rPr>
          <w:rFonts w:cs="Arial"/>
          <w:szCs w:val="20"/>
        </w:rPr>
      </w:pPr>
    </w:p>
    <w:p w14:paraId="4E49D751" w14:textId="364275BD" w:rsidR="007605E6" w:rsidRPr="00382A62" w:rsidRDefault="007605E6" w:rsidP="007605E6">
      <w:pPr>
        <w:pStyle w:val="Descripcin"/>
        <w:rPr>
          <w:rFonts w:cs="Arial"/>
          <w:szCs w:val="20"/>
        </w:rPr>
      </w:pPr>
      <w:bookmarkStart w:id="59" w:name="_Toc169624704"/>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8</w:t>
      </w:r>
      <w:r w:rsidR="00423C23" w:rsidRPr="00382A62">
        <w:rPr>
          <w:rFonts w:cs="Arial"/>
          <w:noProof/>
          <w:szCs w:val="20"/>
        </w:rPr>
        <w:fldChar w:fldCharType="end"/>
      </w:r>
      <w:r w:rsidRPr="00382A62">
        <w:rPr>
          <w:rFonts w:cs="Arial"/>
          <w:szCs w:val="20"/>
        </w:rPr>
        <w:t xml:space="preserve"> - Detalle de las pólizas de seguros, así como los montos asegurados – El Salvador</w:t>
      </w:r>
      <w:bookmarkEnd w:id="59"/>
    </w:p>
    <w:tbl>
      <w:tblPr>
        <w:tblW w:w="8647" w:type="dxa"/>
        <w:jc w:val="center"/>
        <w:tblCellMar>
          <w:left w:w="70" w:type="dxa"/>
          <w:right w:w="70" w:type="dxa"/>
        </w:tblCellMar>
        <w:tblLook w:val="04A0" w:firstRow="1" w:lastRow="0" w:firstColumn="1" w:lastColumn="0" w:noHBand="0" w:noVBand="1"/>
      </w:tblPr>
      <w:tblGrid>
        <w:gridCol w:w="2127"/>
        <w:gridCol w:w="4819"/>
        <w:gridCol w:w="1701"/>
      </w:tblGrid>
      <w:tr w:rsidR="005C68F1" w:rsidRPr="00382A62" w14:paraId="4D671426" w14:textId="77777777" w:rsidTr="005C68F1">
        <w:trPr>
          <w:trHeight w:val="315"/>
          <w:jc w:val="center"/>
        </w:trPr>
        <w:tc>
          <w:tcPr>
            <w:tcW w:w="2127"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01D62DEC"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Tipo de Póliza</w:t>
            </w:r>
          </w:p>
        </w:tc>
        <w:tc>
          <w:tcPr>
            <w:tcW w:w="4819"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10AC7501"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Bienes Asegurados</w:t>
            </w:r>
          </w:p>
        </w:tc>
        <w:tc>
          <w:tcPr>
            <w:tcW w:w="1701" w:type="dxa"/>
            <w:tcBorders>
              <w:top w:val="single" w:sz="8" w:space="0" w:color="A6A6A6"/>
              <w:left w:val="nil"/>
              <w:bottom w:val="single" w:sz="8" w:space="0" w:color="A6A6A6"/>
              <w:right w:val="single" w:sz="8" w:space="0" w:color="A6A6A6"/>
            </w:tcBorders>
            <w:shd w:val="clear" w:color="000000" w:fill="D9D9D9"/>
            <w:vAlign w:val="center"/>
            <w:hideMark/>
          </w:tcPr>
          <w:p w14:paraId="0B837689" w14:textId="02A218F4"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202</w:t>
            </w:r>
            <w:r w:rsidR="00B751F1" w:rsidRPr="00382A62">
              <w:rPr>
                <w:rFonts w:eastAsia="Times New Roman" w:cs="Arial"/>
                <w:b/>
                <w:bCs/>
                <w:color w:val="000000"/>
                <w:szCs w:val="20"/>
                <w:lang w:eastAsia="es-CR"/>
              </w:rPr>
              <w:t>2</w:t>
            </w:r>
            <w:r w:rsidRPr="00382A62">
              <w:rPr>
                <w:rFonts w:eastAsia="Times New Roman" w:cs="Arial"/>
                <w:b/>
                <w:bCs/>
                <w:color w:val="000000"/>
                <w:szCs w:val="20"/>
                <w:lang w:eastAsia="es-CR"/>
              </w:rPr>
              <w:t>-202</w:t>
            </w:r>
            <w:r w:rsidR="00B751F1" w:rsidRPr="00382A62">
              <w:rPr>
                <w:rFonts w:eastAsia="Times New Roman" w:cs="Arial"/>
                <w:b/>
                <w:bCs/>
                <w:color w:val="000000"/>
                <w:szCs w:val="20"/>
                <w:lang w:eastAsia="es-CR"/>
              </w:rPr>
              <w:t>3</w:t>
            </w:r>
          </w:p>
        </w:tc>
      </w:tr>
      <w:tr w:rsidR="005C68F1" w:rsidRPr="00382A62" w14:paraId="2900D2B1" w14:textId="77777777" w:rsidTr="005C68F1">
        <w:trPr>
          <w:trHeight w:val="315"/>
          <w:jc w:val="center"/>
        </w:trPr>
        <w:tc>
          <w:tcPr>
            <w:tcW w:w="2127" w:type="dxa"/>
            <w:vMerge/>
            <w:tcBorders>
              <w:top w:val="single" w:sz="8" w:space="0" w:color="A6A6A6"/>
              <w:left w:val="single" w:sz="8" w:space="0" w:color="A6A6A6"/>
              <w:bottom w:val="single" w:sz="8" w:space="0" w:color="A6A6A6"/>
              <w:right w:val="single" w:sz="8" w:space="0" w:color="A6A6A6"/>
            </w:tcBorders>
            <w:vAlign w:val="center"/>
            <w:hideMark/>
          </w:tcPr>
          <w:p w14:paraId="067CE05B" w14:textId="77777777" w:rsidR="005C68F1" w:rsidRPr="00382A62" w:rsidRDefault="005C68F1" w:rsidP="007D00B2">
            <w:pPr>
              <w:spacing w:after="0" w:line="240" w:lineRule="auto"/>
              <w:jc w:val="left"/>
              <w:rPr>
                <w:rFonts w:eastAsia="Times New Roman" w:cs="Arial"/>
                <w:b/>
                <w:bCs/>
                <w:color w:val="000000"/>
                <w:szCs w:val="20"/>
                <w:lang w:eastAsia="es-CR"/>
              </w:rPr>
            </w:pPr>
          </w:p>
        </w:tc>
        <w:tc>
          <w:tcPr>
            <w:tcW w:w="4819" w:type="dxa"/>
            <w:vMerge/>
            <w:tcBorders>
              <w:top w:val="single" w:sz="8" w:space="0" w:color="A6A6A6"/>
              <w:left w:val="single" w:sz="8" w:space="0" w:color="A6A6A6"/>
              <w:bottom w:val="single" w:sz="8" w:space="0" w:color="A6A6A6"/>
              <w:right w:val="single" w:sz="8" w:space="0" w:color="A6A6A6"/>
            </w:tcBorders>
            <w:vAlign w:val="center"/>
            <w:hideMark/>
          </w:tcPr>
          <w:p w14:paraId="7FB7C1C5" w14:textId="77777777" w:rsidR="005C68F1" w:rsidRPr="00382A62" w:rsidRDefault="005C68F1" w:rsidP="007D00B2">
            <w:pPr>
              <w:spacing w:after="0" w:line="240" w:lineRule="auto"/>
              <w:jc w:val="left"/>
              <w:rPr>
                <w:rFonts w:eastAsia="Times New Roman" w:cs="Arial"/>
                <w:b/>
                <w:bCs/>
                <w:color w:val="000000"/>
                <w:szCs w:val="20"/>
                <w:lang w:eastAsia="es-CR"/>
              </w:rPr>
            </w:pPr>
          </w:p>
        </w:tc>
        <w:tc>
          <w:tcPr>
            <w:tcW w:w="1701" w:type="dxa"/>
            <w:tcBorders>
              <w:top w:val="nil"/>
              <w:left w:val="nil"/>
              <w:bottom w:val="single" w:sz="8" w:space="0" w:color="A6A6A6"/>
              <w:right w:val="single" w:sz="8" w:space="0" w:color="A6A6A6"/>
            </w:tcBorders>
            <w:shd w:val="clear" w:color="000000" w:fill="D9D9D9"/>
            <w:vAlign w:val="center"/>
            <w:hideMark/>
          </w:tcPr>
          <w:p w14:paraId="394F0F0A"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(En Millones de Colones)</w:t>
            </w:r>
          </w:p>
        </w:tc>
      </w:tr>
      <w:tr w:rsidR="00B751F1" w:rsidRPr="00382A62" w14:paraId="15A7CE43" w14:textId="77777777" w:rsidTr="00553B64">
        <w:trPr>
          <w:trHeight w:val="491"/>
          <w:jc w:val="center"/>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1F9FA4E6" w14:textId="77777777" w:rsidR="00B751F1" w:rsidRPr="00382A62" w:rsidRDefault="00B751F1" w:rsidP="00B751F1">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Carga, Importación y Exportación</w:t>
            </w:r>
          </w:p>
        </w:tc>
        <w:tc>
          <w:tcPr>
            <w:tcW w:w="4819" w:type="dxa"/>
            <w:tcBorders>
              <w:top w:val="nil"/>
              <w:left w:val="nil"/>
              <w:bottom w:val="single" w:sz="8" w:space="0" w:color="A6A6A6"/>
              <w:right w:val="single" w:sz="8" w:space="0" w:color="A6A6A6"/>
            </w:tcBorders>
            <w:shd w:val="clear" w:color="000000" w:fill="FFFFFF"/>
            <w:vAlign w:val="center"/>
            <w:hideMark/>
          </w:tcPr>
          <w:p w14:paraId="4A85C1CD" w14:textId="77777777" w:rsidR="00B751F1" w:rsidRPr="00382A62" w:rsidRDefault="00B751F1" w:rsidP="00B751F1">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Materias primas, material de empaque, repuestos, productos importados y de exportación</w:t>
            </w:r>
          </w:p>
        </w:tc>
        <w:tc>
          <w:tcPr>
            <w:tcW w:w="1701" w:type="dxa"/>
            <w:tcBorders>
              <w:top w:val="nil"/>
              <w:left w:val="nil"/>
              <w:bottom w:val="single" w:sz="8" w:space="0" w:color="A6A6A6"/>
              <w:right w:val="single" w:sz="8" w:space="0" w:color="A6A6A6"/>
            </w:tcBorders>
            <w:shd w:val="clear" w:color="000000" w:fill="FFFFFF"/>
            <w:vAlign w:val="center"/>
            <w:hideMark/>
          </w:tcPr>
          <w:p w14:paraId="3605C01C" w14:textId="4E972877" w:rsidR="00B751F1" w:rsidRPr="00382A62" w:rsidRDefault="00B751F1" w:rsidP="00622AB9">
            <w:pPr>
              <w:spacing w:after="0" w:line="240" w:lineRule="auto"/>
              <w:jc w:val="right"/>
              <w:rPr>
                <w:rFonts w:eastAsia="Times New Roman" w:cs="Arial"/>
                <w:color w:val="000000"/>
                <w:szCs w:val="20"/>
                <w:lang w:eastAsia="es-CR"/>
              </w:rPr>
            </w:pPr>
            <w:r w:rsidRPr="00382A62">
              <w:rPr>
                <w:rFonts w:cs="Arial"/>
                <w:color w:val="000000"/>
                <w:szCs w:val="20"/>
              </w:rPr>
              <w:t xml:space="preserve">                                4,401.31 </w:t>
            </w:r>
          </w:p>
        </w:tc>
      </w:tr>
      <w:tr w:rsidR="00B751F1" w:rsidRPr="00382A62" w14:paraId="0C8BDEFB" w14:textId="77777777" w:rsidTr="00553B64">
        <w:trPr>
          <w:trHeight w:val="412"/>
          <w:jc w:val="center"/>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61A09CE1" w14:textId="77777777" w:rsidR="00B751F1" w:rsidRPr="00382A62" w:rsidRDefault="00B751F1" w:rsidP="00B751F1">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Flotilla de Vehículos</w:t>
            </w:r>
          </w:p>
        </w:tc>
        <w:tc>
          <w:tcPr>
            <w:tcW w:w="4819" w:type="dxa"/>
            <w:tcBorders>
              <w:top w:val="nil"/>
              <w:left w:val="nil"/>
              <w:bottom w:val="single" w:sz="8" w:space="0" w:color="A6A6A6"/>
              <w:right w:val="single" w:sz="8" w:space="0" w:color="A6A6A6"/>
            </w:tcBorders>
            <w:shd w:val="clear" w:color="000000" w:fill="FFFFFF"/>
            <w:vAlign w:val="center"/>
            <w:hideMark/>
          </w:tcPr>
          <w:p w14:paraId="69AF5AF2" w14:textId="77777777" w:rsidR="00B751F1" w:rsidRPr="00382A62" w:rsidRDefault="00B751F1" w:rsidP="00B751F1">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Vehículos propiedad de la compañía</w:t>
            </w:r>
          </w:p>
        </w:tc>
        <w:tc>
          <w:tcPr>
            <w:tcW w:w="1701" w:type="dxa"/>
            <w:tcBorders>
              <w:top w:val="nil"/>
              <w:left w:val="nil"/>
              <w:bottom w:val="single" w:sz="8" w:space="0" w:color="A6A6A6"/>
              <w:right w:val="single" w:sz="8" w:space="0" w:color="A6A6A6"/>
            </w:tcBorders>
            <w:shd w:val="clear" w:color="000000" w:fill="FFFFFF"/>
            <w:vAlign w:val="center"/>
            <w:hideMark/>
          </w:tcPr>
          <w:p w14:paraId="62204F37" w14:textId="27A7C7C0" w:rsidR="00B751F1" w:rsidRPr="00382A62" w:rsidRDefault="00B751F1" w:rsidP="00622AB9">
            <w:pPr>
              <w:spacing w:after="0" w:line="240" w:lineRule="auto"/>
              <w:jc w:val="right"/>
              <w:rPr>
                <w:rFonts w:eastAsia="Times New Roman" w:cs="Arial"/>
                <w:color w:val="000000"/>
                <w:szCs w:val="20"/>
                <w:lang w:eastAsia="es-CR"/>
              </w:rPr>
            </w:pPr>
            <w:r w:rsidRPr="00382A62">
              <w:rPr>
                <w:rFonts w:cs="Arial"/>
                <w:color w:val="000000"/>
                <w:szCs w:val="20"/>
              </w:rPr>
              <w:t xml:space="preserve">                                   206.75 </w:t>
            </w:r>
          </w:p>
        </w:tc>
      </w:tr>
      <w:tr w:rsidR="00B751F1" w:rsidRPr="00382A62" w14:paraId="40761308" w14:textId="77777777" w:rsidTr="00553B64">
        <w:trPr>
          <w:trHeight w:val="404"/>
          <w:jc w:val="center"/>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6CF5E92B" w14:textId="77777777" w:rsidR="00B751F1" w:rsidRPr="00382A62" w:rsidRDefault="00B751F1" w:rsidP="00B751F1">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Póliza Colectiva de Vida</w:t>
            </w:r>
          </w:p>
        </w:tc>
        <w:tc>
          <w:tcPr>
            <w:tcW w:w="4819" w:type="dxa"/>
            <w:tcBorders>
              <w:top w:val="nil"/>
              <w:left w:val="nil"/>
              <w:bottom w:val="single" w:sz="8" w:space="0" w:color="A6A6A6"/>
              <w:right w:val="single" w:sz="8" w:space="0" w:color="A6A6A6"/>
            </w:tcBorders>
            <w:shd w:val="clear" w:color="000000" w:fill="FFFFFF"/>
            <w:vAlign w:val="center"/>
            <w:hideMark/>
          </w:tcPr>
          <w:p w14:paraId="30FF1A59" w14:textId="77777777" w:rsidR="00B751F1" w:rsidRPr="00382A62" w:rsidRDefault="00B751F1" w:rsidP="00B751F1">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Ejecutivos de la compañía</w:t>
            </w:r>
          </w:p>
        </w:tc>
        <w:tc>
          <w:tcPr>
            <w:tcW w:w="1701" w:type="dxa"/>
            <w:tcBorders>
              <w:top w:val="nil"/>
              <w:left w:val="nil"/>
              <w:bottom w:val="single" w:sz="8" w:space="0" w:color="A6A6A6"/>
              <w:right w:val="single" w:sz="8" w:space="0" w:color="A6A6A6"/>
            </w:tcBorders>
            <w:shd w:val="clear" w:color="000000" w:fill="FFFFFF"/>
            <w:vAlign w:val="center"/>
            <w:hideMark/>
          </w:tcPr>
          <w:p w14:paraId="07577026" w14:textId="5C9658A3" w:rsidR="00B751F1" w:rsidRPr="00382A62" w:rsidRDefault="008C463F" w:rsidP="00622AB9">
            <w:pPr>
              <w:spacing w:after="0" w:line="240" w:lineRule="auto"/>
              <w:jc w:val="right"/>
              <w:rPr>
                <w:rFonts w:eastAsia="Times New Roman" w:cs="Arial"/>
                <w:color w:val="000000"/>
                <w:szCs w:val="20"/>
                <w:lang w:eastAsia="es-CR"/>
              </w:rPr>
            </w:pPr>
            <w:r>
              <w:rPr>
                <w:rFonts w:cs="Arial"/>
                <w:color w:val="000000"/>
                <w:szCs w:val="20"/>
              </w:rPr>
              <w:t>1</w:t>
            </w:r>
            <w:r w:rsidR="00B751F1" w:rsidRPr="00382A62">
              <w:rPr>
                <w:rFonts w:cs="Arial"/>
                <w:color w:val="000000"/>
                <w:szCs w:val="20"/>
              </w:rPr>
              <w:t xml:space="preserve">                                               </w:t>
            </w:r>
          </w:p>
        </w:tc>
      </w:tr>
      <w:tr w:rsidR="00B751F1" w:rsidRPr="00382A62" w14:paraId="09726990" w14:textId="77777777" w:rsidTr="00553B64">
        <w:trPr>
          <w:trHeight w:val="269"/>
          <w:jc w:val="center"/>
        </w:trPr>
        <w:tc>
          <w:tcPr>
            <w:tcW w:w="6946"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0CC500B6" w14:textId="78DF9F3D" w:rsidR="00B751F1" w:rsidRPr="00382A62" w:rsidRDefault="00B751F1" w:rsidP="00B751F1">
            <w:pPr>
              <w:spacing w:after="0" w:line="240" w:lineRule="auto"/>
              <w:jc w:val="left"/>
              <w:rPr>
                <w:rFonts w:eastAsia="Times New Roman" w:cs="Arial"/>
                <w:b/>
                <w:bCs/>
                <w:color w:val="000000"/>
                <w:szCs w:val="20"/>
                <w:lang w:eastAsia="es-CR"/>
              </w:rPr>
            </w:pPr>
            <w:r w:rsidRPr="00382A62">
              <w:rPr>
                <w:rFonts w:eastAsia="Times New Roman" w:cs="Arial"/>
                <w:b/>
                <w:bCs/>
                <w:color w:val="000000"/>
                <w:szCs w:val="20"/>
                <w:lang w:eastAsia="es-CR"/>
              </w:rPr>
              <w:t xml:space="preserve">Monto Total Asegurado en </w:t>
            </w:r>
            <w:r w:rsidR="008259DA" w:rsidRPr="00382A62">
              <w:rPr>
                <w:rFonts w:eastAsia="Times New Roman" w:cs="Arial"/>
                <w:b/>
                <w:bCs/>
                <w:color w:val="000000"/>
                <w:szCs w:val="20"/>
                <w:lang w:eastAsia="es-CR"/>
              </w:rPr>
              <w:t>colones</w:t>
            </w:r>
          </w:p>
        </w:tc>
        <w:tc>
          <w:tcPr>
            <w:tcW w:w="1701" w:type="dxa"/>
            <w:tcBorders>
              <w:top w:val="nil"/>
              <w:left w:val="nil"/>
              <w:bottom w:val="single" w:sz="8" w:space="0" w:color="A6A6A6"/>
              <w:right w:val="single" w:sz="8" w:space="0" w:color="A6A6A6"/>
            </w:tcBorders>
            <w:shd w:val="clear" w:color="auto" w:fill="auto"/>
            <w:vAlign w:val="center"/>
            <w:hideMark/>
          </w:tcPr>
          <w:p w14:paraId="60827FEC" w14:textId="69E2185A" w:rsidR="00B751F1" w:rsidRPr="00382A62" w:rsidRDefault="00B751F1" w:rsidP="00622AB9">
            <w:pPr>
              <w:spacing w:after="0" w:line="240" w:lineRule="auto"/>
              <w:jc w:val="right"/>
              <w:rPr>
                <w:rFonts w:eastAsia="Times New Roman" w:cs="Arial"/>
                <w:b/>
                <w:bCs/>
                <w:color w:val="000000"/>
                <w:szCs w:val="20"/>
                <w:lang w:eastAsia="es-CR"/>
              </w:rPr>
            </w:pPr>
            <w:r w:rsidRPr="00382A62">
              <w:rPr>
                <w:rFonts w:eastAsia="Times New Roman" w:cs="Arial"/>
                <w:b/>
                <w:bCs/>
                <w:color w:val="000000"/>
                <w:szCs w:val="20"/>
                <w:lang w:eastAsia="es-CR"/>
              </w:rPr>
              <w:t>4.60</w:t>
            </w:r>
            <w:r w:rsidR="00B91F3B">
              <w:rPr>
                <w:rFonts w:eastAsia="Times New Roman" w:cs="Arial"/>
                <w:b/>
                <w:bCs/>
                <w:color w:val="000000"/>
                <w:szCs w:val="20"/>
                <w:lang w:eastAsia="es-CR"/>
              </w:rPr>
              <w:t>9</w:t>
            </w:r>
            <w:r w:rsidRPr="00382A62">
              <w:rPr>
                <w:rFonts w:eastAsia="Times New Roman" w:cs="Arial"/>
                <w:b/>
                <w:bCs/>
                <w:color w:val="000000"/>
                <w:szCs w:val="20"/>
                <w:lang w:eastAsia="es-CR"/>
              </w:rPr>
              <w:t>,0</w:t>
            </w:r>
            <w:r w:rsidR="00B91F3B">
              <w:rPr>
                <w:rFonts w:eastAsia="Times New Roman" w:cs="Arial"/>
                <w:b/>
                <w:bCs/>
                <w:color w:val="000000"/>
                <w:szCs w:val="20"/>
                <w:lang w:eastAsia="es-CR"/>
              </w:rPr>
              <w:t>6</w:t>
            </w:r>
          </w:p>
        </w:tc>
      </w:tr>
    </w:tbl>
    <w:p w14:paraId="6A802DDE" w14:textId="77777777" w:rsidR="00553B64" w:rsidRPr="00382A62" w:rsidRDefault="00553B64" w:rsidP="007605E6">
      <w:pPr>
        <w:pStyle w:val="Descripcin"/>
        <w:rPr>
          <w:rFonts w:cs="Arial"/>
          <w:b w:val="0"/>
          <w:i w:val="0"/>
          <w:iCs w:val="0"/>
          <w:szCs w:val="20"/>
        </w:rPr>
      </w:pPr>
    </w:p>
    <w:p w14:paraId="5688866D" w14:textId="77777777" w:rsidR="0028431D" w:rsidRDefault="0028431D" w:rsidP="007605E6">
      <w:pPr>
        <w:pStyle w:val="Descripcin"/>
        <w:rPr>
          <w:rFonts w:cs="Arial"/>
          <w:szCs w:val="20"/>
        </w:rPr>
      </w:pPr>
    </w:p>
    <w:p w14:paraId="041DD1D5" w14:textId="77777777" w:rsidR="0028431D" w:rsidRDefault="0028431D" w:rsidP="007605E6">
      <w:pPr>
        <w:pStyle w:val="Descripcin"/>
        <w:rPr>
          <w:rFonts w:cs="Arial"/>
          <w:szCs w:val="20"/>
        </w:rPr>
      </w:pPr>
    </w:p>
    <w:p w14:paraId="12358FFA" w14:textId="77777777" w:rsidR="008259DA" w:rsidRPr="008259DA" w:rsidRDefault="008259DA" w:rsidP="008259DA"/>
    <w:p w14:paraId="46AA0C72" w14:textId="77777777" w:rsidR="0028431D" w:rsidRDefault="0028431D" w:rsidP="007605E6">
      <w:pPr>
        <w:pStyle w:val="Descripcin"/>
        <w:rPr>
          <w:rFonts w:cs="Arial"/>
          <w:szCs w:val="20"/>
        </w:rPr>
      </w:pPr>
    </w:p>
    <w:p w14:paraId="638A4EDB" w14:textId="77777777" w:rsidR="0028431D" w:rsidRDefault="0028431D" w:rsidP="007605E6">
      <w:pPr>
        <w:pStyle w:val="Descripcin"/>
        <w:rPr>
          <w:rFonts w:cs="Arial"/>
          <w:szCs w:val="20"/>
        </w:rPr>
      </w:pPr>
    </w:p>
    <w:p w14:paraId="3C589D24" w14:textId="77777777" w:rsidR="0028431D" w:rsidRDefault="0028431D" w:rsidP="007605E6">
      <w:pPr>
        <w:pStyle w:val="Descripcin"/>
        <w:rPr>
          <w:rFonts w:cs="Arial"/>
          <w:szCs w:val="20"/>
        </w:rPr>
      </w:pPr>
    </w:p>
    <w:p w14:paraId="472BEB6D" w14:textId="4C002357" w:rsidR="007605E6" w:rsidRPr="00382A62" w:rsidRDefault="007605E6" w:rsidP="007605E6">
      <w:pPr>
        <w:pStyle w:val="Descripcin"/>
        <w:rPr>
          <w:rFonts w:cs="Arial"/>
          <w:szCs w:val="20"/>
        </w:rPr>
      </w:pPr>
      <w:bookmarkStart w:id="60" w:name="_Toc169624705"/>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9</w:t>
      </w:r>
      <w:r w:rsidR="00423C23" w:rsidRPr="00382A62">
        <w:rPr>
          <w:rFonts w:cs="Arial"/>
          <w:noProof/>
          <w:szCs w:val="20"/>
        </w:rPr>
        <w:fldChar w:fldCharType="end"/>
      </w:r>
      <w:r w:rsidRPr="00382A62">
        <w:rPr>
          <w:rFonts w:cs="Arial"/>
          <w:szCs w:val="20"/>
        </w:rPr>
        <w:t xml:space="preserve"> - Detalle de las pólizas de seguros, así como los montos asegurados – Estados Unidos</w:t>
      </w:r>
      <w:bookmarkEnd w:id="60"/>
    </w:p>
    <w:tbl>
      <w:tblPr>
        <w:tblW w:w="8002" w:type="dxa"/>
        <w:jc w:val="center"/>
        <w:tblCellMar>
          <w:left w:w="70" w:type="dxa"/>
          <w:right w:w="70" w:type="dxa"/>
        </w:tblCellMar>
        <w:tblLook w:val="04A0" w:firstRow="1" w:lastRow="0" w:firstColumn="1" w:lastColumn="0" w:noHBand="0" w:noVBand="1"/>
      </w:tblPr>
      <w:tblGrid>
        <w:gridCol w:w="5934"/>
        <w:gridCol w:w="2068"/>
      </w:tblGrid>
      <w:tr w:rsidR="005C68F1" w:rsidRPr="00382A62" w14:paraId="514A7AFA" w14:textId="77777777" w:rsidTr="005C68F1">
        <w:trPr>
          <w:trHeight w:val="615"/>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vAlign w:val="center"/>
            <w:hideMark/>
          </w:tcPr>
          <w:p w14:paraId="7AF38105" w14:textId="77777777" w:rsidR="005C68F1" w:rsidRPr="00382A62" w:rsidRDefault="005C68F1" w:rsidP="007D00B2">
            <w:pPr>
              <w:spacing w:line="276" w:lineRule="auto"/>
              <w:contextualSpacing/>
              <w:jc w:val="center"/>
              <w:rPr>
                <w:rFonts w:cs="Arial"/>
                <w:b/>
                <w:bCs/>
                <w:szCs w:val="20"/>
              </w:rPr>
            </w:pPr>
            <w:r w:rsidRPr="00382A62">
              <w:rPr>
                <w:rFonts w:cs="Arial"/>
                <w:b/>
                <w:bCs/>
                <w:szCs w:val="20"/>
              </w:rPr>
              <w:t>Tipo de Póliza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vAlign w:val="center"/>
            <w:hideMark/>
          </w:tcPr>
          <w:p w14:paraId="5C2D4F5D" w14:textId="4E80AC67" w:rsidR="005C68F1" w:rsidRPr="00382A62" w:rsidRDefault="005C68F1" w:rsidP="007D00B2">
            <w:pPr>
              <w:spacing w:line="276" w:lineRule="auto"/>
              <w:contextualSpacing/>
              <w:jc w:val="center"/>
              <w:rPr>
                <w:rFonts w:cs="Arial"/>
                <w:b/>
                <w:bCs/>
                <w:szCs w:val="20"/>
              </w:rPr>
            </w:pPr>
            <w:r w:rsidRPr="00382A62">
              <w:rPr>
                <w:rFonts w:cs="Arial"/>
                <w:b/>
                <w:bCs/>
                <w:szCs w:val="20"/>
              </w:rPr>
              <w:t>Cobertura 202</w:t>
            </w:r>
            <w:r w:rsidR="00B751F1" w:rsidRPr="00382A62">
              <w:rPr>
                <w:rFonts w:cs="Arial"/>
                <w:b/>
                <w:bCs/>
                <w:szCs w:val="20"/>
              </w:rPr>
              <w:t>3</w:t>
            </w:r>
            <w:r w:rsidRPr="00382A62">
              <w:rPr>
                <w:rFonts w:cs="Arial"/>
                <w:b/>
                <w:bCs/>
                <w:szCs w:val="20"/>
              </w:rPr>
              <w:br/>
              <w:t>(En millones de dólares)</w:t>
            </w:r>
          </w:p>
        </w:tc>
      </w:tr>
      <w:tr w:rsidR="005C68F1" w:rsidRPr="00382A62" w14:paraId="4875EB34" w14:textId="77777777" w:rsidTr="00553B64">
        <w:trPr>
          <w:trHeight w:val="435"/>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15C9AA5" w14:textId="77777777" w:rsidR="005C68F1" w:rsidRPr="00382A62" w:rsidRDefault="005C68F1" w:rsidP="006B7930">
            <w:pPr>
              <w:spacing w:after="0" w:line="276" w:lineRule="auto"/>
              <w:contextualSpacing/>
              <w:rPr>
                <w:rFonts w:cs="Arial"/>
                <w:szCs w:val="20"/>
              </w:rPr>
            </w:pPr>
            <w:r w:rsidRPr="00382A62">
              <w:rPr>
                <w:rFonts w:cs="Arial"/>
                <w:szCs w:val="20"/>
              </w:rPr>
              <w:t>Cobertura de todo riesgo a la propiedad</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D4FC645" w14:textId="77777777" w:rsidR="005C68F1" w:rsidRPr="00382A62" w:rsidRDefault="005C68F1" w:rsidP="00622AB9">
            <w:pPr>
              <w:spacing w:after="0" w:line="276" w:lineRule="auto"/>
              <w:contextualSpacing/>
              <w:jc w:val="right"/>
              <w:rPr>
                <w:rFonts w:cs="Arial"/>
                <w:szCs w:val="20"/>
              </w:rPr>
            </w:pPr>
            <w:r w:rsidRPr="00382A62">
              <w:rPr>
                <w:rFonts w:cs="Arial"/>
                <w:szCs w:val="20"/>
              </w:rPr>
              <w:t>400</w:t>
            </w:r>
          </w:p>
        </w:tc>
      </w:tr>
      <w:tr w:rsidR="005C68F1" w:rsidRPr="00382A62" w14:paraId="02B1455F" w14:textId="77777777" w:rsidTr="00553B64">
        <w:trPr>
          <w:trHeight w:val="399"/>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ECD152F" w14:textId="77777777" w:rsidR="005C68F1" w:rsidRPr="00382A62" w:rsidRDefault="005C68F1" w:rsidP="006B7930">
            <w:pPr>
              <w:spacing w:after="0" w:line="276" w:lineRule="auto"/>
              <w:contextualSpacing/>
              <w:rPr>
                <w:rFonts w:cs="Arial"/>
                <w:szCs w:val="20"/>
              </w:rPr>
            </w:pPr>
            <w:r w:rsidRPr="00382A62">
              <w:rPr>
                <w:rFonts w:cs="Arial"/>
                <w:szCs w:val="20"/>
              </w:rPr>
              <w:t>Calderas y Maquinaria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E28EA4B" w14:textId="77777777" w:rsidR="005C68F1" w:rsidRPr="00382A62" w:rsidRDefault="005C68F1" w:rsidP="00622AB9">
            <w:pPr>
              <w:spacing w:after="0" w:line="276" w:lineRule="auto"/>
              <w:contextualSpacing/>
              <w:jc w:val="right"/>
              <w:rPr>
                <w:rFonts w:cs="Arial"/>
                <w:szCs w:val="20"/>
              </w:rPr>
            </w:pPr>
            <w:r w:rsidRPr="00382A62">
              <w:rPr>
                <w:rFonts w:cs="Arial"/>
                <w:szCs w:val="20"/>
              </w:rPr>
              <w:t>400</w:t>
            </w:r>
          </w:p>
        </w:tc>
      </w:tr>
      <w:tr w:rsidR="005C68F1" w:rsidRPr="00382A62" w14:paraId="291DEF70" w14:textId="77777777" w:rsidTr="00553B64">
        <w:trPr>
          <w:trHeight w:val="416"/>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5BF0661" w14:textId="77777777" w:rsidR="005C68F1" w:rsidRPr="00382A62" w:rsidRDefault="005C68F1" w:rsidP="006B7930">
            <w:pPr>
              <w:spacing w:after="0" w:line="276" w:lineRule="auto"/>
              <w:contextualSpacing/>
              <w:rPr>
                <w:rFonts w:cs="Arial"/>
                <w:szCs w:val="20"/>
              </w:rPr>
            </w:pPr>
            <w:r w:rsidRPr="00382A62">
              <w:rPr>
                <w:rFonts w:cs="Arial"/>
                <w:szCs w:val="20"/>
              </w:rPr>
              <w:t>Responsabilidad Civil Umbrella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E17FBA6" w14:textId="77777777" w:rsidR="005C68F1" w:rsidRPr="00382A62" w:rsidRDefault="005C68F1" w:rsidP="00622AB9">
            <w:pPr>
              <w:spacing w:after="0" w:line="276" w:lineRule="auto"/>
              <w:contextualSpacing/>
              <w:jc w:val="right"/>
              <w:rPr>
                <w:rFonts w:cs="Arial"/>
                <w:szCs w:val="20"/>
              </w:rPr>
            </w:pPr>
            <w:r w:rsidRPr="00382A62">
              <w:rPr>
                <w:rFonts w:cs="Arial"/>
                <w:szCs w:val="20"/>
              </w:rPr>
              <w:t>25</w:t>
            </w:r>
          </w:p>
        </w:tc>
      </w:tr>
      <w:tr w:rsidR="005C68F1" w:rsidRPr="00382A62" w14:paraId="69C63672" w14:textId="77777777" w:rsidTr="00553B64">
        <w:trPr>
          <w:trHeight w:val="422"/>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625978C" w14:textId="77777777" w:rsidR="005C68F1" w:rsidRPr="00382A62" w:rsidRDefault="005C68F1" w:rsidP="006B7930">
            <w:pPr>
              <w:spacing w:after="0" w:line="276" w:lineRule="auto"/>
              <w:contextualSpacing/>
              <w:rPr>
                <w:rFonts w:cs="Arial"/>
                <w:szCs w:val="20"/>
              </w:rPr>
            </w:pPr>
            <w:r w:rsidRPr="00382A62">
              <w:rPr>
                <w:rFonts w:cs="Arial"/>
                <w:szCs w:val="20"/>
              </w:rPr>
              <w:t>Responsabilidad Civil General</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D51E4E0" w14:textId="77777777" w:rsidR="005C68F1" w:rsidRPr="00382A62" w:rsidRDefault="005C68F1" w:rsidP="00622AB9">
            <w:pPr>
              <w:spacing w:after="0" w:line="276" w:lineRule="auto"/>
              <w:contextualSpacing/>
              <w:jc w:val="right"/>
              <w:rPr>
                <w:rFonts w:cs="Arial"/>
                <w:szCs w:val="20"/>
              </w:rPr>
            </w:pPr>
            <w:r w:rsidRPr="00382A62">
              <w:rPr>
                <w:rFonts w:cs="Arial"/>
                <w:szCs w:val="20"/>
              </w:rPr>
              <w:t>2</w:t>
            </w:r>
          </w:p>
        </w:tc>
      </w:tr>
      <w:tr w:rsidR="005C68F1" w:rsidRPr="00382A62" w14:paraId="617A9D6D" w14:textId="77777777" w:rsidTr="00553B64">
        <w:trPr>
          <w:trHeight w:val="413"/>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423A1C8" w14:textId="77777777" w:rsidR="005C68F1" w:rsidRPr="00382A62" w:rsidRDefault="005C68F1" w:rsidP="006B7930">
            <w:pPr>
              <w:spacing w:after="0" w:line="276" w:lineRule="auto"/>
              <w:contextualSpacing/>
              <w:rPr>
                <w:rFonts w:cs="Arial"/>
                <w:szCs w:val="20"/>
              </w:rPr>
            </w:pPr>
            <w:r w:rsidRPr="00382A62">
              <w:rPr>
                <w:rFonts w:cs="Arial"/>
                <w:szCs w:val="20"/>
              </w:rPr>
              <w:t>Responsabilidad Comercial Internacional General</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4E3C7F3" w14:textId="77777777" w:rsidR="005C68F1" w:rsidRPr="00382A62" w:rsidRDefault="005C68F1" w:rsidP="00622AB9">
            <w:pPr>
              <w:spacing w:after="0" w:line="276" w:lineRule="auto"/>
              <w:contextualSpacing/>
              <w:jc w:val="right"/>
              <w:rPr>
                <w:rFonts w:cs="Arial"/>
                <w:szCs w:val="20"/>
              </w:rPr>
            </w:pPr>
            <w:r w:rsidRPr="00382A62">
              <w:rPr>
                <w:rFonts w:cs="Arial"/>
                <w:szCs w:val="20"/>
              </w:rPr>
              <w:t>2</w:t>
            </w:r>
          </w:p>
        </w:tc>
      </w:tr>
      <w:tr w:rsidR="0099549C" w:rsidRPr="00382A62" w14:paraId="005C8F20" w14:textId="77777777" w:rsidTr="0099549C">
        <w:trPr>
          <w:trHeight w:val="416"/>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237A0FB3" w14:textId="4986106D" w:rsidR="0099549C" w:rsidRPr="00382A62" w:rsidRDefault="0099549C" w:rsidP="0099549C">
            <w:pPr>
              <w:spacing w:after="0" w:line="276" w:lineRule="auto"/>
              <w:contextualSpacing/>
              <w:rPr>
                <w:rFonts w:cs="Arial"/>
                <w:szCs w:val="20"/>
              </w:rPr>
            </w:pPr>
            <w:r w:rsidRPr="00382A62">
              <w:rPr>
                <w:rFonts w:cs="Arial"/>
                <w:szCs w:val="20"/>
              </w:rPr>
              <w:t>Responsabilidad del Licor</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1CB900B3" w14:textId="373106C8" w:rsidR="0099549C" w:rsidRPr="00382A62" w:rsidRDefault="0099549C" w:rsidP="0099549C">
            <w:pPr>
              <w:spacing w:after="0" w:line="276" w:lineRule="auto"/>
              <w:contextualSpacing/>
              <w:jc w:val="right"/>
              <w:rPr>
                <w:rFonts w:cs="Arial"/>
                <w:szCs w:val="20"/>
              </w:rPr>
            </w:pPr>
            <w:r w:rsidRPr="00382A62">
              <w:rPr>
                <w:rFonts w:cs="Arial"/>
                <w:szCs w:val="20"/>
              </w:rPr>
              <w:t>2</w:t>
            </w:r>
          </w:p>
        </w:tc>
      </w:tr>
      <w:tr w:rsidR="0099549C" w:rsidRPr="00382A62" w14:paraId="571388F5" w14:textId="77777777" w:rsidTr="00553B64">
        <w:trPr>
          <w:trHeight w:val="419"/>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72CB261" w14:textId="4019BFB9" w:rsidR="0099549C" w:rsidRPr="00382A62" w:rsidRDefault="0099549C" w:rsidP="0099549C">
            <w:pPr>
              <w:spacing w:after="0" w:line="276" w:lineRule="auto"/>
              <w:contextualSpacing/>
              <w:rPr>
                <w:rFonts w:cs="Arial"/>
                <w:szCs w:val="20"/>
              </w:rPr>
            </w:pPr>
            <w:r w:rsidRPr="00382A62">
              <w:rPr>
                <w:rFonts w:cs="Arial"/>
                <w:szCs w:val="20"/>
              </w:rPr>
              <w:t>Compensación para trabajadores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8C4202F" w14:textId="36DCE351" w:rsidR="0099549C" w:rsidRPr="00382A62" w:rsidRDefault="0099549C" w:rsidP="0099549C">
            <w:pPr>
              <w:spacing w:after="0" w:line="276" w:lineRule="auto"/>
              <w:contextualSpacing/>
              <w:jc w:val="right"/>
              <w:rPr>
                <w:rFonts w:cs="Arial"/>
                <w:szCs w:val="20"/>
              </w:rPr>
            </w:pPr>
            <w:r w:rsidRPr="00382A62">
              <w:rPr>
                <w:rFonts w:cs="Arial"/>
                <w:szCs w:val="20"/>
              </w:rPr>
              <w:t>1</w:t>
            </w:r>
          </w:p>
        </w:tc>
      </w:tr>
      <w:tr w:rsidR="0099549C" w:rsidRPr="00382A62" w14:paraId="40518826" w14:textId="77777777" w:rsidTr="00553B64">
        <w:trPr>
          <w:trHeight w:val="419"/>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7F64B05" w14:textId="77777777" w:rsidR="0099549C" w:rsidRPr="00382A62" w:rsidRDefault="0099549C" w:rsidP="0099549C">
            <w:pPr>
              <w:spacing w:after="0" w:line="276" w:lineRule="auto"/>
              <w:contextualSpacing/>
              <w:rPr>
                <w:rFonts w:cs="Arial"/>
                <w:szCs w:val="20"/>
              </w:rPr>
            </w:pPr>
            <w:r w:rsidRPr="00382A62">
              <w:rPr>
                <w:rFonts w:cs="Arial"/>
                <w:szCs w:val="20"/>
              </w:rPr>
              <w:t>Flotilla de Vehículos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D9821B2" w14:textId="77777777" w:rsidR="0099549C" w:rsidRPr="00382A62" w:rsidRDefault="0099549C" w:rsidP="0099549C">
            <w:pPr>
              <w:spacing w:after="0" w:line="276" w:lineRule="auto"/>
              <w:contextualSpacing/>
              <w:jc w:val="right"/>
              <w:rPr>
                <w:rFonts w:cs="Arial"/>
                <w:szCs w:val="20"/>
              </w:rPr>
            </w:pPr>
            <w:r w:rsidRPr="00382A62">
              <w:rPr>
                <w:rFonts w:cs="Arial"/>
                <w:szCs w:val="20"/>
              </w:rPr>
              <w:t>1</w:t>
            </w:r>
          </w:p>
        </w:tc>
      </w:tr>
      <w:tr w:rsidR="0099549C" w:rsidRPr="00382A62" w14:paraId="2412B432" w14:textId="77777777" w:rsidTr="00553B64">
        <w:trPr>
          <w:trHeight w:val="275"/>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0D7A3A1" w14:textId="77777777" w:rsidR="0099549C" w:rsidRPr="00382A62" w:rsidRDefault="0099549C" w:rsidP="0099549C">
            <w:pPr>
              <w:spacing w:after="0" w:line="276" w:lineRule="auto"/>
              <w:contextualSpacing/>
              <w:rPr>
                <w:rFonts w:cs="Arial"/>
                <w:szCs w:val="20"/>
              </w:rPr>
            </w:pPr>
            <w:r w:rsidRPr="00382A62">
              <w:rPr>
                <w:rFonts w:eastAsia="Times New Roman" w:cs="Arial"/>
                <w:b/>
                <w:bCs/>
                <w:color w:val="000000"/>
                <w:szCs w:val="20"/>
                <w:lang w:eastAsia="es-CR"/>
              </w:rPr>
              <w:t>Monto Total Asegurado en Dólares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2F31FAA" w14:textId="77777777" w:rsidR="0099549C" w:rsidRPr="00382A62" w:rsidRDefault="0099549C" w:rsidP="0099549C">
            <w:pPr>
              <w:spacing w:after="0" w:line="276" w:lineRule="auto"/>
              <w:contextualSpacing/>
              <w:jc w:val="right"/>
              <w:rPr>
                <w:rFonts w:cs="Arial"/>
                <w:b/>
                <w:bCs/>
                <w:szCs w:val="20"/>
              </w:rPr>
            </w:pPr>
            <w:r w:rsidRPr="00382A62">
              <w:rPr>
                <w:rFonts w:cs="Arial"/>
                <w:b/>
                <w:bCs/>
                <w:szCs w:val="20"/>
              </w:rPr>
              <w:t>833</w:t>
            </w:r>
          </w:p>
        </w:tc>
      </w:tr>
    </w:tbl>
    <w:p w14:paraId="362F68C8" w14:textId="77777777" w:rsidR="006559E9" w:rsidRPr="00382A62" w:rsidRDefault="006559E9" w:rsidP="007605E6">
      <w:pPr>
        <w:rPr>
          <w:rFonts w:cs="Arial"/>
          <w:szCs w:val="20"/>
        </w:rPr>
      </w:pPr>
    </w:p>
    <w:p w14:paraId="616822D0" w14:textId="7CFC70B7" w:rsidR="007605E6" w:rsidRDefault="007605E6" w:rsidP="007605E6">
      <w:pPr>
        <w:rPr>
          <w:rFonts w:cs="Arial"/>
          <w:szCs w:val="20"/>
        </w:rPr>
      </w:pPr>
      <w:r w:rsidRPr="00382A62">
        <w:rPr>
          <w:rFonts w:cs="Arial"/>
          <w:szCs w:val="20"/>
        </w:rPr>
        <w:t>Adicionalmente, para el período 202</w:t>
      </w:r>
      <w:r w:rsidR="00DF12B8">
        <w:rPr>
          <w:rFonts w:cs="Arial"/>
          <w:szCs w:val="20"/>
        </w:rPr>
        <w:t>3</w:t>
      </w:r>
      <w:r w:rsidRPr="00382A62">
        <w:rPr>
          <w:rFonts w:cs="Arial"/>
          <w:szCs w:val="20"/>
        </w:rPr>
        <w:t xml:space="preserve"> en Costa Rica, se maneja una póliza médica por un monto máximo asegurable por empleado de $2.000.000 y una póliza colectiva de vida por un monto máximo asegurable por empleado de 36 salarios, con un tope máximo de $500.000, aplicables a los niveles gerenciales. Además, se cuenta con otra cobertura de gastos médicos por $100.000 y vida de $30.000, la cual aplica para mandos medios profesionales.</w:t>
      </w:r>
    </w:p>
    <w:p w14:paraId="683C8CCA" w14:textId="77777777" w:rsidR="00FC6873" w:rsidRDefault="00FC6873" w:rsidP="007605E6">
      <w:pPr>
        <w:rPr>
          <w:rFonts w:cs="Arial"/>
          <w:szCs w:val="20"/>
        </w:rPr>
      </w:pPr>
    </w:p>
    <w:p w14:paraId="0046AD7E" w14:textId="09AF19DC" w:rsidR="005C68F1" w:rsidRPr="00014538" w:rsidRDefault="007605E6" w:rsidP="005C68F1">
      <w:pPr>
        <w:pStyle w:val="Ttulo2"/>
        <w:numPr>
          <w:ilvl w:val="0"/>
          <w:numId w:val="10"/>
        </w:numPr>
        <w:rPr>
          <w:rFonts w:cs="Arial"/>
          <w:b/>
          <w:bCs/>
          <w:sz w:val="20"/>
          <w:szCs w:val="20"/>
        </w:rPr>
      </w:pPr>
      <w:bookmarkStart w:id="61" w:name="_Toc131092869"/>
      <w:bookmarkStart w:id="62" w:name="_Toc131501068"/>
      <w:bookmarkStart w:id="63" w:name="_Toc169624627"/>
      <w:r w:rsidRPr="00014538">
        <w:rPr>
          <w:rFonts w:cs="Arial"/>
          <w:b/>
          <w:bCs/>
          <w:sz w:val="20"/>
          <w:szCs w:val="20"/>
        </w:rPr>
        <w:t>Análisis de indicadores financieros</w:t>
      </w:r>
      <w:bookmarkEnd w:id="61"/>
      <w:bookmarkEnd w:id="62"/>
      <w:bookmarkEnd w:id="63"/>
    </w:p>
    <w:p w14:paraId="53F0F8D8" w14:textId="77777777" w:rsidR="007605E6" w:rsidRDefault="007605E6" w:rsidP="007605E6">
      <w:pPr>
        <w:rPr>
          <w:rFonts w:cs="Arial"/>
          <w:szCs w:val="20"/>
        </w:rPr>
      </w:pPr>
      <w:r w:rsidRPr="00382A62">
        <w:rPr>
          <w:rFonts w:cs="Arial"/>
          <w:szCs w:val="20"/>
        </w:rPr>
        <w:t>La situación financiera de la Compañía en los últimos tres años se presenta en el siguiente cuadro resumen, donde se muestran los datos de liquidez, endeudamiento, rentabilidad y la actividad de FIFCO</w:t>
      </w:r>
      <w:r w:rsidRPr="00382A62">
        <w:rPr>
          <w:rStyle w:val="Refdenotaalpie"/>
          <w:rFonts w:cs="Arial"/>
          <w:szCs w:val="20"/>
        </w:rPr>
        <w:footnoteReference w:id="3"/>
      </w:r>
      <w:r w:rsidRPr="00382A62">
        <w:rPr>
          <w:rFonts w:cs="Arial"/>
          <w:szCs w:val="20"/>
        </w:rPr>
        <w:t>:</w:t>
      </w:r>
    </w:p>
    <w:p w14:paraId="6C7D5DD0" w14:textId="77777777" w:rsidR="0028431D" w:rsidRDefault="0028431D" w:rsidP="007605E6">
      <w:pPr>
        <w:rPr>
          <w:rFonts w:cs="Arial"/>
          <w:szCs w:val="20"/>
        </w:rPr>
      </w:pPr>
    </w:p>
    <w:p w14:paraId="3C1026DA" w14:textId="77777777" w:rsidR="0028431D" w:rsidRDefault="0028431D" w:rsidP="007605E6">
      <w:pPr>
        <w:rPr>
          <w:rFonts w:cs="Arial"/>
          <w:szCs w:val="20"/>
        </w:rPr>
      </w:pPr>
    </w:p>
    <w:p w14:paraId="71BFC800" w14:textId="77777777" w:rsidR="0028431D" w:rsidRDefault="0028431D" w:rsidP="007605E6">
      <w:pPr>
        <w:rPr>
          <w:rFonts w:cs="Arial"/>
          <w:szCs w:val="20"/>
        </w:rPr>
      </w:pPr>
    </w:p>
    <w:p w14:paraId="6187E416" w14:textId="77777777" w:rsidR="0028431D" w:rsidRDefault="0028431D" w:rsidP="007605E6">
      <w:pPr>
        <w:rPr>
          <w:rFonts w:cs="Arial"/>
          <w:szCs w:val="20"/>
        </w:rPr>
      </w:pPr>
    </w:p>
    <w:p w14:paraId="32A41105" w14:textId="77777777" w:rsidR="0028431D" w:rsidRDefault="0028431D" w:rsidP="007605E6">
      <w:pPr>
        <w:rPr>
          <w:rFonts w:cs="Arial"/>
          <w:szCs w:val="20"/>
        </w:rPr>
      </w:pPr>
    </w:p>
    <w:p w14:paraId="74D45F62" w14:textId="77777777" w:rsidR="0028431D" w:rsidRDefault="0028431D" w:rsidP="007605E6">
      <w:pPr>
        <w:rPr>
          <w:rFonts w:cs="Arial"/>
          <w:szCs w:val="20"/>
        </w:rPr>
      </w:pPr>
    </w:p>
    <w:p w14:paraId="3255E3E9" w14:textId="1E6963A7" w:rsidR="007605E6" w:rsidRPr="00382A62" w:rsidRDefault="007605E6" w:rsidP="007605E6">
      <w:pPr>
        <w:pStyle w:val="Descripcin"/>
        <w:rPr>
          <w:rFonts w:cs="Arial"/>
          <w:szCs w:val="20"/>
        </w:rPr>
      </w:pPr>
      <w:bookmarkStart w:id="64" w:name="_Toc169624706"/>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10</w:t>
      </w:r>
      <w:r w:rsidR="00423C23" w:rsidRPr="00382A62">
        <w:rPr>
          <w:rFonts w:cs="Arial"/>
          <w:noProof/>
          <w:szCs w:val="20"/>
        </w:rPr>
        <w:fldChar w:fldCharType="end"/>
      </w:r>
      <w:r w:rsidRPr="00382A62">
        <w:rPr>
          <w:rFonts w:cs="Arial"/>
          <w:szCs w:val="20"/>
        </w:rPr>
        <w:t xml:space="preserve"> - Razones financieras, en millones de colones</w:t>
      </w:r>
      <w:bookmarkEnd w:id="64"/>
    </w:p>
    <w:tbl>
      <w:tblPr>
        <w:tblW w:w="8823" w:type="dxa"/>
        <w:jc w:val="center"/>
        <w:tblCellMar>
          <w:left w:w="70" w:type="dxa"/>
          <w:right w:w="70" w:type="dxa"/>
        </w:tblCellMar>
        <w:tblLook w:val="04A0" w:firstRow="1" w:lastRow="0" w:firstColumn="1" w:lastColumn="0" w:noHBand="0" w:noVBand="1"/>
      </w:tblPr>
      <w:tblGrid>
        <w:gridCol w:w="4803"/>
        <w:gridCol w:w="1320"/>
        <w:gridCol w:w="1320"/>
        <w:gridCol w:w="1380"/>
      </w:tblGrid>
      <w:tr w:rsidR="000E4FF8" w:rsidRPr="00382A62" w14:paraId="650AB496" w14:textId="77777777" w:rsidTr="000E4FF8">
        <w:trPr>
          <w:trHeight w:val="280"/>
          <w:jc w:val="center"/>
        </w:trPr>
        <w:tc>
          <w:tcPr>
            <w:tcW w:w="4803" w:type="dxa"/>
            <w:tcBorders>
              <w:top w:val="single" w:sz="4" w:space="0" w:color="A6A6A6"/>
              <w:left w:val="single" w:sz="4" w:space="0" w:color="A6A6A6"/>
              <w:bottom w:val="single" w:sz="4" w:space="0" w:color="A6A6A6"/>
              <w:right w:val="single" w:sz="4" w:space="0" w:color="A6A6A6"/>
            </w:tcBorders>
            <w:shd w:val="clear" w:color="000000" w:fill="F2F2F2"/>
            <w:noWrap/>
            <w:vAlign w:val="bottom"/>
            <w:hideMark/>
          </w:tcPr>
          <w:p w14:paraId="03FF12FB" w14:textId="77777777" w:rsidR="000E4FF8" w:rsidRPr="00382A62" w:rsidRDefault="000E4FF8" w:rsidP="000E4FF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Razones financieras</w:t>
            </w:r>
          </w:p>
        </w:tc>
        <w:tc>
          <w:tcPr>
            <w:tcW w:w="1320" w:type="dxa"/>
            <w:tcBorders>
              <w:top w:val="single" w:sz="4" w:space="0" w:color="A6A6A6"/>
              <w:left w:val="nil"/>
              <w:bottom w:val="single" w:sz="4" w:space="0" w:color="A6A6A6"/>
              <w:right w:val="single" w:sz="4" w:space="0" w:color="A6A6A6"/>
            </w:tcBorders>
            <w:shd w:val="clear" w:color="000000" w:fill="F2F2F2"/>
            <w:noWrap/>
            <w:vAlign w:val="bottom"/>
            <w:hideMark/>
          </w:tcPr>
          <w:p w14:paraId="6B87C753" w14:textId="77777777" w:rsidR="000E4FF8" w:rsidRPr="00382A62" w:rsidRDefault="000E4FF8" w:rsidP="000E4FF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0" w:type="dxa"/>
            <w:tcBorders>
              <w:top w:val="single" w:sz="4" w:space="0" w:color="A6A6A6"/>
              <w:left w:val="nil"/>
              <w:bottom w:val="single" w:sz="4" w:space="0" w:color="A6A6A6"/>
              <w:right w:val="single" w:sz="4" w:space="0" w:color="A6A6A6"/>
            </w:tcBorders>
            <w:shd w:val="clear" w:color="000000" w:fill="F2F2F2"/>
            <w:noWrap/>
            <w:vAlign w:val="bottom"/>
            <w:hideMark/>
          </w:tcPr>
          <w:p w14:paraId="52F6B86E" w14:textId="77777777" w:rsidR="000E4FF8" w:rsidRPr="00382A62" w:rsidRDefault="000E4FF8" w:rsidP="000E4FF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80" w:type="dxa"/>
            <w:tcBorders>
              <w:top w:val="single" w:sz="4" w:space="0" w:color="A6A6A6"/>
              <w:left w:val="nil"/>
              <w:bottom w:val="single" w:sz="4" w:space="0" w:color="A6A6A6"/>
              <w:right w:val="single" w:sz="4" w:space="0" w:color="A6A6A6"/>
            </w:tcBorders>
            <w:shd w:val="clear" w:color="000000" w:fill="F2F2F2"/>
            <w:noWrap/>
            <w:vAlign w:val="bottom"/>
            <w:hideMark/>
          </w:tcPr>
          <w:p w14:paraId="5E0E48C6" w14:textId="77777777" w:rsidR="000E4FF8" w:rsidRPr="00382A62" w:rsidRDefault="000E4FF8" w:rsidP="000E4FF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r>
      <w:tr w:rsidR="000E4FF8" w:rsidRPr="00382A62" w14:paraId="3F84119A" w14:textId="77777777" w:rsidTr="000E4FF8">
        <w:trPr>
          <w:trHeight w:val="280"/>
          <w:jc w:val="center"/>
        </w:trPr>
        <w:tc>
          <w:tcPr>
            <w:tcW w:w="8823" w:type="dxa"/>
            <w:gridSpan w:val="4"/>
            <w:tcBorders>
              <w:top w:val="single" w:sz="4" w:space="0" w:color="A6A6A6"/>
              <w:left w:val="single" w:sz="4" w:space="0" w:color="A6A6A6"/>
              <w:bottom w:val="single" w:sz="4" w:space="0" w:color="A6A6A6"/>
              <w:right w:val="nil"/>
            </w:tcBorders>
            <w:shd w:val="clear" w:color="auto" w:fill="auto"/>
            <w:noWrap/>
            <w:vAlign w:val="bottom"/>
            <w:hideMark/>
          </w:tcPr>
          <w:p w14:paraId="66BEC478" w14:textId="77777777" w:rsidR="000E4FF8" w:rsidRPr="00382A62" w:rsidRDefault="000E4FF8" w:rsidP="000E4FF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Índices de Liquidez</w:t>
            </w:r>
          </w:p>
        </w:tc>
      </w:tr>
      <w:tr w:rsidR="000E4FF8" w:rsidRPr="00382A62" w14:paraId="0D82B192"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48A40AE6"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Liquidez corriente</w:t>
            </w:r>
          </w:p>
        </w:tc>
        <w:tc>
          <w:tcPr>
            <w:tcW w:w="1320" w:type="dxa"/>
            <w:tcBorders>
              <w:top w:val="nil"/>
              <w:left w:val="nil"/>
              <w:bottom w:val="single" w:sz="4" w:space="0" w:color="A6A6A6"/>
              <w:right w:val="single" w:sz="4" w:space="0" w:color="A6A6A6"/>
            </w:tcBorders>
            <w:shd w:val="clear" w:color="auto" w:fill="auto"/>
            <w:noWrap/>
            <w:vAlign w:val="bottom"/>
            <w:hideMark/>
          </w:tcPr>
          <w:p w14:paraId="5842FE1B"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1.4</w:t>
            </w:r>
          </w:p>
        </w:tc>
        <w:tc>
          <w:tcPr>
            <w:tcW w:w="1320" w:type="dxa"/>
            <w:tcBorders>
              <w:top w:val="nil"/>
              <w:left w:val="nil"/>
              <w:bottom w:val="single" w:sz="4" w:space="0" w:color="A6A6A6"/>
              <w:right w:val="single" w:sz="4" w:space="0" w:color="A6A6A6"/>
            </w:tcBorders>
            <w:shd w:val="clear" w:color="auto" w:fill="auto"/>
            <w:noWrap/>
            <w:vAlign w:val="bottom"/>
            <w:hideMark/>
          </w:tcPr>
          <w:p w14:paraId="1D1B48DF"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1.0</w:t>
            </w:r>
          </w:p>
        </w:tc>
        <w:tc>
          <w:tcPr>
            <w:tcW w:w="1380" w:type="dxa"/>
            <w:tcBorders>
              <w:top w:val="nil"/>
              <w:left w:val="nil"/>
              <w:bottom w:val="single" w:sz="4" w:space="0" w:color="A6A6A6"/>
              <w:right w:val="single" w:sz="4" w:space="0" w:color="A6A6A6"/>
            </w:tcBorders>
            <w:shd w:val="clear" w:color="auto" w:fill="auto"/>
            <w:noWrap/>
            <w:vAlign w:val="bottom"/>
            <w:hideMark/>
          </w:tcPr>
          <w:p w14:paraId="3AC75E8A"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1.1</w:t>
            </w:r>
          </w:p>
        </w:tc>
      </w:tr>
      <w:tr w:rsidR="000E4FF8" w:rsidRPr="00382A62" w14:paraId="62846C08"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69E2F4EB"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Razón Ácida</w:t>
            </w:r>
          </w:p>
        </w:tc>
        <w:tc>
          <w:tcPr>
            <w:tcW w:w="1320" w:type="dxa"/>
            <w:tcBorders>
              <w:top w:val="nil"/>
              <w:left w:val="nil"/>
              <w:bottom w:val="single" w:sz="4" w:space="0" w:color="A6A6A6"/>
              <w:right w:val="single" w:sz="4" w:space="0" w:color="A6A6A6"/>
            </w:tcBorders>
            <w:shd w:val="clear" w:color="auto" w:fill="auto"/>
            <w:noWrap/>
            <w:vAlign w:val="bottom"/>
            <w:hideMark/>
          </w:tcPr>
          <w:p w14:paraId="42DAD521"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0.9</w:t>
            </w:r>
          </w:p>
        </w:tc>
        <w:tc>
          <w:tcPr>
            <w:tcW w:w="1320" w:type="dxa"/>
            <w:tcBorders>
              <w:top w:val="nil"/>
              <w:left w:val="nil"/>
              <w:bottom w:val="single" w:sz="4" w:space="0" w:color="A6A6A6"/>
              <w:right w:val="single" w:sz="4" w:space="0" w:color="A6A6A6"/>
            </w:tcBorders>
            <w:shd w:val="clear" w:color="auto" w:fill="auto"/>
            <w:noWrap/>
            <w:vAlign w:val="bottom"/>
            <w:hideMark/>
          </w:tcPr>
          <w:p w14:paraId="602F3332"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0.5</w:t>
            </w:r>
          </w:p>
        </w:tc>
        <w:tc>
          <w:tcPr>
            <w:tcW w:w="1380" w:type="dxa"/>
            <w:tcBorders>
              <w:top w:val="nil"/>
              <w:left w:val="nil"/>
              <w:bottom w:val="single" w:sz="4" w:space="0" w:color="A6A6A6"/>
              <w:right w:val="single" w:sz="4" w:space="0" w:color="A6A6A6"/>
            </w:tcBorders>
            <w:shd w:val="clear" w:color="auto" w:fill="auto"/>
            <w:noWrap/>
            <w:vAlign w:val="bottom"/>
            <w:hideMark/>
          </w:tcPr>
          <w:p w14:paraId="0DCBE7B3"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0.7</w:t>
            </w:r>
          </w:p>
        </w:tc>
      </w:tr>
      <w:tr w:rsidR="000E4FF8" w:rsidRPr="00382A62" w14:paraId="39C8B624" w14:textId="77777777" w:rsidTr="000E4FF8">
        <w:trPr>
          <w:trHeight w:val="280"/>
          <w:jc w:val="center"/>
        </w:trPr>
        <w:tc>
          <w:tcPr>
            <w:tcW w:w="8823" w:type="dxa"/>
            <w:gridSpan w:val="4"/>
            <w:tcBorders>
              <w:top w:val="single" w:sz="4" w:space="0" w:color="A6A6A6"/>
              <w:left w:val="single" w:sz="4" w:space="0" w:color="A6A6A6"/>
              <w:bottom w:val="single" w:sz="4" w:space="0" w:color="A6A6A6"/>
              <w:right w:val="nil"/>
            </w:tcBorders>
            <w:shd w:val="clear" w:color="auto" w:fill="auto"/>
            <w:noWrap/>
            <w:vAlign w:val="bottom"/>
            <w:hideMark/>
          </w:tcPr>
          <w:p w14:paraId="0D315CFB" w14:textId="77777777" w:rsidR="000E4FF8" w:rsidRPr="00382A62" w:rsidRDefault="000E4FF8" w:rsidP="000E4FF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Índices de Rentabilidad</w:t>
            </w:r>
          </w:p>
        </w:tc>
      </w:tr>
      <w:tr w:rsidR="000E4FF8" w:rsidRPr="00382A62" w14:paraId="4FDEDC79"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64005C51"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Utilidad neta a Activo Total</w:t>
            </w:r>
          </w:p>
        </w:tc>
        <w:tc>
          <w:tcPr>
            <w:tcW w:w="1320" w:type="dxa"/>
            <w:tcBorders>
              <w:top w:val="nil"/>
              <w:left w:val="nil"/>
              <w:bottom w:val="single" w:sz="4" w:space="0" w:color="A6A6A6"/>
              <w:right w:val="single" w:sz="4" w:space="0" w:color="A6A6A6"/>
            </w:tcBorders>
            <w:shd w:val="clear" w:color="auto" w:fill="auto"/>
            <w:noWrap/>
            <w:vAlign w:val="bottom"/>
            <w:hideMark/>
          </w:tcPr>
          <w:p w14:paraId="7CE27613"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7.7%</w:t>
            </w:r>
          </w:p>
        </w:tc>
        <w:tc>
          <w:tcPr>
            <w:tcW w:w="1320" w:type="dxa"/>
            <w:tcBorders>
              <w:top w:val="nil"/>
              <w:left w:val="nil"/>
              <w:bottom w:val="single" w:sz="4" w:space="0" w:color="A6A6A6"/>
              <w:right w:val="single" w:sz="4" w:space="0" w:color="A6A6A6"/>
            </w:tcBorders>
            <w:shd w:val="clear" w:color="auto" w:fill="auto"/>
            <w:noWrap/>
            <w:vAlign w:val="bottom"/>
            <w:hideMark/>
          </w:tcPr>
          <w:p w14:paraId="16D8B143"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9.9%</w:t>
            </w:r>
          </w:p>
        </w:tc>
        <w:tc>
          <w:tcPr>
            <w:tcW w:w="1380" w:type="dxa"/>
            <w:tcBorders>
              <w:top w:val="nil"/>
              <w:left w:val="nil"/>
              <w:bottom w:val="single" w:sz="4" w:space="0" w:color="A6A6A6"/>
              <w:right w:val="single" w:sz="4" w:space="0" w:color="A6A6A6"/>
            </w:tcBorders>
            <w:shd w:val="clear" w:color="auto" w:fill="auto"/>
            <w:noWrap/>
            <w:vAlign w:val="bottom"/>
            <w:hideMark/>
          </w:tcPr>
          <w:p w14:paraId="121522A5"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10.9%</w:t>
            </w:r>
          </w:p>
        </w:tc>
      </w:tr>
      <w:tr w:rsidR="000E4FF8" w:rsidRPr="00382A62" w14:paraId="170977B9"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33BCE134"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Utilidad Neta a Ventas</w:t>
            </w:r>
          </w:p>
        </w:tc>
        <w:tc>
          <w:tcPr>
            <w:tcW w:w="1320" w:type="dxa"/>
            <w:tcBorders>
              <w:top w:val="nil"/>
              <w:left w:val="nil"/>
              <w:bottom w:val="single" w:sz="4" w:space="0" w:color="A6A6A6"/>
              <w:right w:val="single" w:sz="4" w:space="0" w:color="A6A6A6"/>
            </w:tcBorders>
            <w:shd w:val="clear" w:color="auto" w:fill="auto"/>
            <w:noWrap/>
            <w:vAlign w:val="bottom"/>
            <w:hideMark/>
          </w:tcPr>
          <w:p w14:paraId="70185A29"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9.5%</w:t>
            </w:r>
          </w:p>
        </w:tc>
        <w:tc>
          <w:tcPr>
            <w:tcW w:w="1320" w:type="dxa"/>
            <w:tcBorders>
              <w:top w:val="nil"/>
              <w:left w:val="nil"/>
              <w:bottom w:val="single" w:sz="4" w:space="0" w:color="A6A6A6"/>
              <w:right w:val="single" w:sz="4" w:space="0" w:color="A6A6A6"/>
            </w:tcBorders>
            <w:shd w:val="clear" w:color="auto" w:fill="auto"/>
            <w:noWrap/>
            <w:vAlign w:val="bottom"/>
            <w:hideMark/>
          </w:tcPr>
          <w:p w14:paraId="7147C1AA"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10.8%</w:t>
            </w:r>
          </w:p>
        </w:tc>
        <w:tc>
          <w:tcPr>
            <w:tcW w:w="1380" w:type="dxa"/>
            <w:tcBorders>
              <w:top w:val="nil"/>
              <w:left w:val="nil"/>
              <w:bottom w:val="single" w:sz="4" w:space="0" w:color="A6A6A6"/>
              <w:right w:val="single" w:sz="4" w:space="0" w:color="A6A6A6"/>
            </w:tcBorders>
            <w:shd w:val="clear" w:color="auto" w:fill="auto"/>
            <w:noWrap/>
            <w:vAlign w:val="bottom"/>
            <w:hideMark/>
          </w:tcPr>
          <w:p w14:paraId="68DD90D0"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11.5%</w:t>
            </w:r>
          </w:p>
        </w:tc>
      </w:tr>
      <w:tr w:rsidR="000E4FF8" w:rsidRPr="00382A62" w14:paraId="45AD5C83"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6142A6DB"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Utilidad Neta a Patrimonio Neto</w:t>
            </w:r>
          </w:p>
        </w:tc>
        <w:tc>
          <w:tcPr>
            <w:tcW w:w="1320" w:type="dxa"/>
            <w:tcBorders>
              <w:top w:val="nil"/>
              <w:left w:val="nil"/>
              <w:bottom w:val="single" w:sz="4" w:space="0" w:color="A6A6A6"/>
              <w:right w:val="single" w:sz="4" w:space="0" w:color="A6A6A6"/>
            </w:tcBorders>
            <w:shd w:val="clear" w:color="auto" w:fill="auto"/>
            <w:noWrap/>
            <w:vAlign w:val="bottom"/>
            <w:hideMark/>
          </w:tcPr>
          <w:p w14:paraId="550817AB"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18.9%</w:t>
            </w:r>
          </w:p>
        </w:tc>
        <w:tc>
          <w:tcPr>
            <w:tcW w:w="1320" w:type="dxa"/>
            <w:tcBorders>
              <w:top w:val="nil"/>
              <w:left w:val="nil"/>
              <w:bottom w:val="single" w:sz="4" w:space="0" w:color="A6A6A6"/>
              <w:right w:val="single" w:sz="4" w:space="0" w:color="A6A6A6"/>
            </w:tcBorders>
            <w:shd w:val="clear" w:color="auto" w:fill="auto"/>
            <w:noWrap/>
            <w:vAlign w:val="bottom"/>
            <w:hideMark/>
          </w:tcPr>
          <w:p w14:paraId="3280DB7B"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23.6%</w:t>
            </w:r>
          </w:p>
        </w:tc>
        <w:tc>
          <w:tcPr>
            <w:tcW w:w="1380" w:type="dxa"/>
            <w:tcBorders>
              <w:top w:val="nil"/>
              <w:left w:val="nil"/>
              <w:bottom w:val="single" w:sz="4" w:space="0" w:color="A6A6A6"/>
              <w:right w:val="single" w:sz="4" w:space="0" w:color="A6A6A6"/>
            </w:tcBorders>
            <w:shd w:val="clear" w:color="auto" w:fill="auto"/>
            <w:noWrap/>
            <w:vAlign w:val="bottom"/>
            <w:hideMark/>
          </w:tcPr>
          <w:p w14:paraId="1470C7CA"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23.1%</w:t>
            </w:r>
          </w:p>
        </w:tc>
      </w:tr>
      <w:tr w:rsidR="000E4FF8" w:rsidRPr="00382A62" w14:paraId="238D53E6"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26C2D60C"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Utilidad por acción (en colones)</w:t>
            </w:r>
          </w:p>
        </w:tc>
        <w:tc>
          <w:tcPr>
            <w:tcW w:w="1320" w:type="dxa"/>
            <w:tcBorders>
              <w:top w:val="nil"/>
              <w:left w:val="nil"/>
              <w:bottom w:val="single" w:sz="4" w:space="0" w:color="A6A6A6"/>
              <w:right w:val="single" w:sz="4" w:space="0" w:color="A6A6A6"/>
            </w:tcBorders>
            <w:shd w:val="clear" w:color="auto" w:fill="auto"/>
            <w:noWrap/>
            <w:vAlign w:val="bottom"/>
            <w:hideMark/>
          </w:tcPr>
          <w:p w14:paraId="1B9A56A4"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₡63.5</w:t>
            </w:r>
          </w:p>
        </w:tc>
        <w:tc>
          <w:tcPr>
            <w:tcW w:w="1320" w:type="dxa"/>
            <w:tcBorders>
              <w:top w:val="nil"/>
              <w:left w:val="nil"/>
              <w:bottom w:val="single" w:sz="4" w:space="0" w:color="A6A6A6"/>
              <w:right w:val="single" w:sz="4" w:space="0" w:color="A6A6A6"/>
            </w:tcBorders>
            <w:shd w:val="clear" w:color="auto" w:fill="auto"/>
            <w:noWrap/>
            <w:vAlign w:val="bottom"/>
            <w:hideMark/>
          </w:tcPr>
          <w:p w14:paraId="0AFA819C"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₡85.8</w:t>
            </w:r>
          </w:p>
        </w:tc>
        <w:tc>
          <w:tcPr>
            <w:tcW w:w="1380" w:type="dxa"/>
            <w:tcBorders>
              <w:top w:val="nil"/>
              <w:left w:val="nil"/>
              <w:bottom w:val="single" w:sz="4" w:space="0" w:color="A6A6A6"/>
              <w:right w:val="single" w:sz="4" w:space="0" w:color="A6A6A6"/>
            </w:tcBorders>
            <w:shd w:val="clear" w:color="auto" w:fill="auto"/>
            <w:noWrap/>
            <w:vAlign w:val="bottom"/>
            <w:hideMark/>
          </w:tcPr>
          <w:p w14:paraId="474B01B5"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₡89.1</w:t>
            </w:r>
          </w:p>
        </w:tc>
      </w:tr>
      <w:tr w:rsidR="000E4FF8" w:rsidRPr="00382A62" w14:paraId="2A3CDE28" w14:textId="77777777" w:rsidTr="000E4FF8">
        <w:trPr>
          <w:trHeight w:val="280"/>
          <w:jc w:val="center"/>
        </w:trPr>
        <w:tc>
          <w:tcPr>
            <w:tcW w:w="8823" w:type="dxa"/>
            <w:gridSpan w:val="4"/>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7FD85B8B" w14:textId="77777777" w:rsidR="000E4FF8" w:rsidRPr="00382A62" w:rsidRDefault="000E4FF8" w:rsidP="000E4FF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Índices de Actividad</w:t>
            </w:r>
          </w:p>
        </w:tc>
      </w:tr>
      <w:tr w:rsidR="000E4FF8" w:rsidRPr="00382A62" w14:paraId="7EB095E1"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7C236557" w14:textId="77777777" w:rsidR="000E4FF8" w:rsidRPr="00382A62" w:rsidRDefault="000E4FF8" w:rsidP="000E4FF8">
            <w:pPr>
              <w:spacing w:after="0" w:line="240" w:lineRule="auto"/>
              <w:jc w:val="center"/>
              <w:rPr>
                <w:rFonts w:eastAsia="Times New Roman" w:cs="Arial"/>
                <w:szCs w:val="20"/>
                <w:lang w:val="es-419" w:eastAsia="es-419"/>
              </w:rPr>
            </w:pPr>
            <w:r w:rsidRPr="00382A62">
              <w:rPr>
                <w:rFonts w:eastAsia="Times New Roman" w:cs="Arial"/>
                <w:szCs w:val="20"/>
                <w:lang w:val="es-419" w:eastAsia="es-419"/>
              </w:rPr>
              <w:t>Período medio de cuentas por cobrar (días)</w:t>
            </w:r>
          </w:p>
        </w:tc>
        <w:tc>
          <w:tcPr>
            <w:tcW w:w="1320" w:type="dxa"/>
            <w:tcBorders>
              <w:top w:val="nil"/>
              <w:left w:val="nil"/>
              <w:bottom w:val="single" w:sz="4" w:space="0" w:color="A6A6A6"/>
              <w:right w:val="single" w:sz="4" w:space="0" w:color="A6A6A6"/>
            </w:tcBorders>
            <w:shd w:val="clear" w:color="auto" w:fill="auto"/>
            <w:noWrap/>
            <w:vAlign w:val="bottom"/>
            <w:hideMark/>
          </w:tcPr>
          <w:p w14:paraId="74F3BF60" w14:textId="77777777" w:rsidR="000E4FF8" w:rsidRPr="00382A62" w:rsidRDefault="000E4FF8" w:rsidP="000E4FF8">
            <w:pPr>
              <w:spacing w:after="0" w:line="240" w:lineRule="auto"/>
              <w:jc w:val="center"/>
              <w:rPr>
                <w:rFonts w:eastAsia="Times New Roman" w:cs="Arial"/>
                <w:szCs w:val="20"/>
                <w:lang w:val="es-419" w:eastAsia="es-419"/>
              </w:rPr>
            </w:pPr>
            <w:r w:rsidRPr="00382A62">
              <w:rPr>
                <w:rFonts w:eastAsia="Times New Roman" w:cs="Arial"/>
                <w:szCs w:val="20"/>
                <w:lang w:val="es-419" w:eastAsia="es-419"/>
              </w:rPr>
              <w:t>43.6</w:t>
            </w:r>
          </w:p>
        </w:tc>
        <w:tc>
          <w:tcPr>
            <w:tcW w:w="1320" w:type="dxa"/>
            <w:tcBorders>
              <w:top w:val="nil"/>
              <w:left w:val="nil"/>
              <w:bottom w:val="single" w:sz="4" w:space="0" w:color="A6A6A6"/>
              <w:right w:val="single" w:sz="4" w:space="0" w:color="A6A6A6"/>
            </w:tcBorders>
            <w:shd w:val="clear" w:color="auto" w:fill="auto"/>
            <w:noWrap/>
            <w:vAlign w:val="bottom"/>
            <w:hideMark/>
          </w:tcPr>
          <w:p w14:paraId="4601C0FB" w14:textId="77777777" w:rsidR="000E4FF8" w:rsidRPr="00382A62" w:rsidRDefault="000E4FF8" w:rsidP="000E4FF8">
            <w:pPr>
              <w:spacing w:after="0" w:line="240" w:lineRule="auto"/>
              <w:jc w:val="center"/>
              <w:rPr>
                <w:rFonts w:eastAsia="Times New Roman" w:cs="Arial"/>
                <w:szCs w:val="20"/>
                <w:lang w:val="es-419" w:eastAsia="es-419"/>
              </w:rPr>
            </w:pPr>
            <w:r w:rsidRPr="00382A62">
              <w:rPr>
                <w:rFonts w:eastAsia="Times New Roman" w:cs="Arial"/>
                <w:szCs w:val="20"/>
                <w:lang w:val="es-419" w:eastAsia="es-419"/>
              </w:rPr>
              <w:t>38.7</w:t>
            </w:r>
          </w:p>
        </w:tc>
        <w:tc>
          <w:tcPr>
            <w:tcW w:w="1380" w:type="dxa"/>
            <w:tcBorders>
              <w:top w:val="nil"/>
              <w:left w:val="nil"/>
              <w:bottom w:val="single" w:sz="4" w:space="0" w:color="A6A6A6"/>
              <w:right w:val="single" w:sz="4" w:space="0" w:color="A6A6A6"/>
            </w:tcBorders>
            <w:shd w:val="clear" w:color="auto" w:fill="auto"/>
            <w:noWrap/>
            <w:vAlign w:val="bottom"/>
            <w:hideMark/>
          </w:tcPr>
          <w:p w14:paraId="4C5547CE" w14:textId="77777777" w:rsidR="000E4FF8" w:rsidRPr="00382A62" w:rsidRDefault="000E4FF8" w:rsidP="000E4FF8">
            <w:pPr>
              <w:spacing w:after="0" w:line="240" w:lineRule="auto"/>
              <w:jc w:val="center"/>
              <w:rPr>
                <w:rFonts w:eastAsia="Times New Roman" w:cs="Arial"/>
                <w:szCs w:val="20"/>
                <w:lang w:val="es-419" w:eastAsia="es-419"/>
              </w:rPr>
            </w:pPr>
            <w:r w:rsidRPr="00382A62">
              <w:rPr>
                <w:rFonts w:eastAsia="Times New Roman" w:cs="Arial"/>
                <w:szCs w:val="20"/>
                <w:lang w:val="es-419" w:eastAsia="es-419"/>
              </w:rPr>
              <w:t>40.0</w:t>
            </w:r>
          </w:p>
        </w:tc>
      </w:tr>
      <w:tr w:rsidR="000E4FF8" w:rsidRPr="00382A62" w14:paraId="706CBAB4"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5772D618"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Período medio de pago (días)</w:t>
            </w:r>
          </w:p>
        </w:tc>
        <w:tc>
          <w:tcPr>
            <w:tcW w:w="1320" w:type="dxa"/>
            <w:tcBorders>
              <w:top w:val="nil"/>
              <w:left w:val="nil"/>
              <w:bottom w:val="single" w:sz="4" w:space="0" w:color="A6A6A6"/>
              <w:right w:val="single" w:sz="4" w:space="0" w:color="A6A6A6"/>
            </w:tcBorders>
            <w:shd w:val="clear" w:color="auto" w:fill="auto"/>
            <w:noWrap/>
            <w:vAlign w:val="bottom"/>
            <w:hideMark/>
          </w:tcPr>
          <w:p w14:paraId="6B8C2C36"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62.4</w:t>
            </w:r>
          </w:p>
        </w:tc>
        <w:tc>
          <w:tcPr>
            <w:tcW w:w="1320" w:type="dxa"/>
            <w:tcBorders>
              <w:top w:val="nil"/>
              <w:left w:val="nil"/>
              <w:bottom w:val="single" w:sz="4" w:space="0" w:color="A6A6A6"/>
              <w:right w:val="single" w:sz="4" w:space="0" w:color="A6A6A6"/>
            </w:tcBorders>
            <w:shd w:val="clear" w:color="auto" w:fill="auto"/>
            <w:noWrap/>
            <w:vAlign w:val="bottom"/>
            <w:hideMark/>
          </w:tcPr>
          <w:p w14:paraId="7B88F71E"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61.2</w:t>
            </w:r>
          </w:p>
        </w:tc>
        <w:tc>
          <w:tcPr>
            <w:tcW w:w="1380" w:type="dxa"/>
            <w:tcBorders>
              <w:top w:val="nil"/>
              <w:left w:val="nil"/>
              <w:bottom w:val="single" w:sz="4" w:space="0" w:color="A6A6A6"/>
              <w:right w:val="single" w:sz="4" w:space="0" w:color="A6A6A6"/>
            </w:tcBorders>
            <w:shd w:val="clear" w:color="auto" w:fill="auto"/>
            <w:noWrap/>
            <w:vAlign w:val="bottom"/>
            <w:hideMark/>
          </w:tcPr>
          <w:p w14:paraId="507D427E"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52.6</w:t>
            </w:r>
          </w:p>
        </w:tc>
      </w:tr>
      <w:tr w:rsidR="000E4FF8" w:rsidRPr="00382A62" w14:paraId="56D7C965"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164390EA"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Días de Inventario</w:t>
            </w:r>
          </w:p>
        </w:tc>
        <w:tc>
          <w:tcPr>
            <w:tcW w:w="1320" w:type="dxa"/>
            <w:tcBorders>
              <w:top w:val="nil"/>
              <w:left w:val="nil"/>
              <w:bottom w:val="single" w:sz="4" w:space="0" w:color="A6A6A6"/>
              <w:right w:val="single" w:sz="4" w:space="0" w:color="A6A6A6"/>
            </w:tcBorders>
            <w:shd w:val="clear" w:color="auto" w:fill="auto"/>
            <w:noWrap/>
            <w:vAlign w:val="bottom"/>
            <w:hideMark/>
          </w:tcPr>
          <w:p w14:paraId="391B2EDC"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77.0</w:t>
            </w:r>
          </w:p>
        </w:tc>
        <w:tc>
          <w:tcPr>
            <w:tcW w:w="1320" w:type="dxa"/>
            <w:tcBorders>
              <w:top w:val="nil"/>
              <w:left w:val="nil"/>
              <w:bottom w:val="single" w:sz="4" w:space="0" w:color="A6A6A6"/>
              <w:right w:val="single" w:sz="4" w:space="0" w:color="A6A6A6"/>
            </w:tcBorders>
            <w:shd w:val="clear" w:color="auto" w:fill="auto"/>
            <w:noWrap/>
            <w:vAlign w:val="bottom"/>
            <w:hideMark/>
          </w:tcPr>
          <w:p w14:paraId="62E17D32"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92.8</w:t>
            </w:r>
          </w:p>
        </w:tc>
        <w:tc>
          <w:tcPr>
            <w:tcW w:w="1380" w:type="dxa"/>
            <w:tcBorders>
              <w:top w:val="nil"/>
              <w:left w:val="nil"/>
              <w:bottom w:val="single" w:sz="4" w:space="0" w:color="A6A6A6"/>
              <w:right w:val="single" w:sz="4" w:space="0" w:color="A6A6A6"/>
            </w:tcBorders>
            <w:shd w:val="clear" w:color="auto" w:fill="auto"/>
            <w:noWrap/>
            <w:vAlign w:val="bottom"/>
            <w:hideMark/>
          </w:tcPr>
          <w:p w14:paraId="7F8CC7BE"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72.8</w:t>
            </w:r>
          </w:p>
        </w:tc>
      </w:tr>
      <w:tr w:rsidR="000E4FF8" w:rsidRPr="00382A62" w14:paraId="54333F3E"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2F560DD2"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Rotación de Inventarios</w:t>
            </w:r>
          </w:p>
        </w:tc>
        <w:tc>
          <w:tcPr>
            <w:tcW w:w="1320" w:type="dxa"/>
            <w:tcBorders>
              <w:top w:val="nil"/>
              <w:left w:val="nil"/>
              <w:bottom w:val="single" w:sz="4" w:space="0" w:color="A6A6A6"/>
              <w:right w:val="single" w:sz="4" w:space="0" w:color="A6A6A6"/>
            </w:tcBorders>
            <w:shd w:val="clear" w:color="auto" w:fill="auto"/>
            <w:noWrap/>
            <w:vAlign w:val="bottom"/>
            <w:hideMark/>
          </w:tcPr>
          <w:p w14:paraId="135CFADF"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4.7</w:t>
            </w:r>
          </w:p>
        </w:tc>
        <w:tc>
          <w:tcPr>
            <w:tcW w:w="1320" w:type="dxa"/>
            <w:tcBorders>
              <w:top w:val="nil"/>
              <w:left w:val="nil"/>
              <w:bottom w:val="single" w:sz="4" w:space="0" w:color="A6A6A6"/>
              <w:right w:val="single" w:sz="4" w:space="0" w:color="A6A6A6"/>
            </w:tcBorders>
            <w:shd w:val="clear" w:color="auto" w:fill="auto"/>
            <w:noWrap/>
            <w:vAlign w:val="bottom"/>
            <w:hideMark/>
          </w:tcPr>
          <w:p w14:paraId="7110FEB9"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3.9</w:t>
            </w:r>
          </w:p>
        </w:tc>
        <w:tc>
          <w:tcPr>
            <w:tcW w:w="1380" w:type="dxa"/>
            <w:tcBorders>
              <w:top w:val="nil"/>
              <w:left w:val="nil"/>
              <w:bottom w:val="single" w:sz="4" w:space="0" w:color="A6A6A6"/>
              <w:right w:val="single" w:sz="4" w:space="0" w:color="A6A6A6"/>
            </w:tcBorders>
            <w:shd w:val="clear" w:color="auto" w:fill="auto"/>
            <w:noWrap/>
            <w:vAlign w:val="bottom"/>
            <w:hideMark/>
          </w:tcPr>
          <w:p w14:paraId="3408E483"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5.0</w:t>
            </w:r>
          </w:p>
        </w:tc>
      </w:tr>
      <w:tr w:rsidR="000E4FF8" w:rsidRPr="00382A62" w14:paraId="53ACD20C"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4D0E1C91"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Rotación activo fijo</w:t>
            </w:r>
          </w:p>
        </w:tc>
        <w:tc>
          <w:tcPr>
            <w:tcW w:w="1320" w:type="dxa"/>
            <w:tcBorders>
              <w:top w:val="nil"/>
              <w:left w:val="nil"/>
              <w:bottom w:val="single" w:sz="4" w:space="0" w:color="A6A6A6"/>
              <w:right w:val="single" w:sz="4" w:space="0" w:color="A6A6A6"/>
            </w:tcBorders>
            <w:shd w:val="clear" w:color="auto" w:fill="auto"/>
            <w:noWrap/>
            <w:vAlign w:val="bottom"/>
            <w:hideMark/>
          </w:tcPr>
          <w:p w14:paraId="316AC7DC"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2.2</w:t>
            </w:r>
          </w:p>
        </w:tc>
        <w:tc>
          <w:tcPr>
            <w:tcW w:w="1320" w:type="dxa"/>
            <w:tcBorders>
              <w:top w:val="nil"/>
              <w:left w:val="nil"/>
              <w:bottom w:val="single" w:sz="4" w:space="0" w:color="A6A6A6"/>
              <w:right w:val="single" w:sz="4" w:space="0" w:color="A6A6A6"/>
            </w:tcBorders>
            <w:shd w:val="clear" w:color="auto" w:fill="auto"/>
            <w:noWrap/>
            <w:vAlign w:val="bottom"/>
            <w:hideMark/>
          </w:tcPr>
          <w:p w14:paraId="68820CF3"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2.5</w:t>
            </w:r>
          </w:p>
        </w:tc>
        <w:tc>
          <w:tcPr>
            <w:tcW w:w="1380" w:type="dxa"/>
            <w:tcBorders>
              <w:top w:val="nil"/>
              <w:left w:val="nil"/>
              <w:bottom w:val="single" w:sz="4" w:space="0" w:color="A6A6A6"/>
              <w:right w:val="single" w:sz="4" w:space="0" w:color="A6A6A6"/>
            </w:tcBorders>
            <w:shd w:val="clear" w:color="auto" w:fill="auto"/>
            <w:noWrap/>
            <w:vAlign w:val="bottom"/>
            <w:hideMark/>
          </w:tcPr>
          <w:p w14:paraId="6037B1CC"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2.4</w:t>
            </w:r>
          </w:p>
        </w:tc>
      </w:tr>
      <w:tr w:rsidR="000E4FF8" w:rsidRPr="00382A62" w14:paraId="52112FA0"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280308A0"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Utilidad Neta más Gastos Financieros a Gastos Financieros</w:t>
            </w:r>
          </w:p>
        </w:tc>
        <w:tc>
          <w:tcPr>
            <w:tcW w:w="1320" w:type="dxa"/>
            <w:tcBorders>
              <w:top w:val="nil"/>
              <w:left w:val="nil"/>
              <w:bottom w:val="single" w:sz="4" w:space="0" w:color="A6A6A6"/>
              <w:right w:val="single" w:sz="4" w:space="0" w:color="A6A6A6"/>
            </w:tcBorders>
            <w:shd w:val="clear" w:color="auto" w:fill="auto"/>
            <w:noWrap/>
            <w:vAlign w:val="bottom"/>
            <w:hideMark/>
          </w:tcPr>
          <w:p w14:paraId="176EBC0B"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3.6</w:t>
            </w:r>
          </w:p>
        </w:tc>
        <w:tc>
          <w:tcPr>
            <w:tcW w:w="1320" w:type="dxa"/>
            <w:tcBorders>
              <w:top w:val="nil"/>
              <w:left w:val="nil"/>
              <w:bottom w:val="single" w:sz="4" w:space="0" w:color="A6A6A6"/>
              <w:right w:val="single" w:sz="4" w:space="0" w:color="A6A6A6"/>
            </w:tcBorders>
            <w:shd w:val="clear" w:color="auto" w:fill="auto"/>
            <w:noWrap/>
            <w:vAlign w:val="bottom"/>
            <w:hideMark/>
          </w:tcPr>
          <w:p w14:paraId="0E30A447"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4.6</w:t>
            </w:r>
          </w:p>
        </w:tc>
        <w:tc>
          <w:tcPr>
            <w:tcW w:w="1380" w:type="dxa"/>
            <w:tcBorders>
              <w:top w:val="nil"/>
              <w:left w:val="nil"/>
              <w:bottom w:val="single" w:sz="4" w:space="0" w:color="A6A6A6"/>
              <w:right w:val="single" w:sz="4" w:space="0" w:color="A6A6A6"/>
            </w:tcBorders>
            <w:shd w:val="clear" w:color="auto" w:fill="auto"/>
            <w:noWrap/>
            <w:vAlign w:val="bottom"/>
            <w:hideMark/>
          </w:tcPr>
          <w:p w14:paraId="7B1AE6B2"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4.6</w:t>
            </w:r>
          </w:p>
        </w:tc>
      </w:tr>
      <w:tr w:rsidR="000E4FF8" w:rsidRPr="00382A62" w14:paraId="7A241FED"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785CFBCA"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Cuentas Incobrables a Ventas</w:t>
            </w:r>
          </w:p>
        </w:tc>
        <w:tc>
          <w:tcPr>
            <w:tcW w:w="1320" w:type="dxa"/>
            <w:tcBorders>
              <w:top w:val="nil"/>
              <w:left w:val="nil"/>
              <w:bottom w:val="single" w:sz="4" w:space="0" w:color="A6A6A6"/>
              <w:right w:val="single" w:sz="4" w:space="0" w:color="A6A6A6"/>
            </w:tcBorders>
            <w:shd w:val="clear" w:color="auto" w:fill="auto"/>
            <w:noWrap/>
            <w:vAlign w:val="bottom"/>
            <w:hideMark/>
          </w:tcPr>
          <w:p w14:paraId="22347F74"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0.3%</w:t>
            </w:r>
          </w:p>
        </w:tc>
        <w:tc>
          <w:tcPr>
            <w:tcW w:w="1320" w:type="dxa"/>
            <w:tcBorders>
              <w:top w:val="nil"/>
              <w:left w:val="nil"/>
              <w:bottom w:val="single" w:sz="4" w:space="0" w:color="A6A6A6"/>
              <w:right w:val="single" w:sz="4" w:space="0" w:color="A6A6A6"/>
            </w:tcBorders>
            <w:shd w:val="clear" w:color="auto" w:fill="auto"/>
            <w:noWrap/>
            <w:vAlign w:val="bottom"/>
            <w:hideMark/>
          </w:tcPr>
          <w:p w14:paraId="530A3D69"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0.2%</w:t>
            </w:r>
          </w:p>
        </w:tc>
        <w:tc>
          <w:tcPr>
            <w:tcW w:w="1380" w:type="dxa"/>
            <w:tcBorders>
              <w:top w:val="nil"/>
              <w:left w:val="nil"/>
              <w:bottom w:val="single" w:sz="4" w:space="0" w:color="A6A6A6"/>
              <w:right w:val="single" w:sz="4" w:space="0" w:color="A6A6A6"/>
            </w:tcBorders>
            <w:shd w:val="clear" w:color="auto" w:fill="auto"/>
            <w:noWrap/>
            <w:vAlign w:val="bottom"/>
            <w:hideMark/>
          </w:tcPr>
          <w:p w14:paraId="4AE2CECB"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0.2%</w:t>
            </w:r>
          </w:p>
        </w:tc>
      </w:tr>
      <w:tr w:rsidR="000E4FF8" w:rsidRPr="00382A62" w14:paraId="6369F14E" w14:textId="77777777" w:rsidTr="000E4FF8">
        <w:trPr>
          <w:trHeight w:val="280"/>
          <w:jc w:val="center"/>
        </w:trPr>
        <w:tc>
          <w:tcPr>
            <w:tcW w:w="8823" w:type="dxa"/>
            <w:gridSpan w:val="4"/>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56E9D3A9" w14:textId="77777777" w:rsidR="000E4FF8" w:rsidRPr="00382A62" w:rsidRDefault="000E4FF8" w:rsidP="000E4FF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Niveles de Capitalización y Endeudamiento</w:t>
            </w:r>
          </w:p>
        </w:tc>
      </w:tr>
      <w:tr w:rsidR="000E4FF8" w:rsidRPr="00382A62" w14:paraId="443D5224"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725B214A"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Pasivo Total a Patrimonio Neto</w:t>
            </w:r>
          </w:p>
        </w:tc>
        <w:tc>
          <w:tcPr>
            <w:tcW w:w="1320" w:type="dxa"/>
            <w:tcBorders>
              <w:top w:val="nil"/>
              <w:left w:val="nil"/>
              <w:bottom w:val="single" w:sz="4" w:space="0" w:color="A6A6A6"/>
              <w:right w:val="single" w:sz="4" w:space="0" w:color="A6A6A6"/>
            </w:tcBorders>
            <w:shd w:val="clear" w:color="auto" w:fill="auto"/>
            <w:noWrap/>
            <w:vAlign w:val="bottom"/>
            <w:hideMark/>
          </w:tcPr>
          <w:p w14:paraId="2D18F990"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2.6</w:t>
            </w:r>
          </w:p>
        </w:tc>
        <w:tc>
          <w:tcPr>
            <w:tcW w:w="1320" w:type="dxa"/>
            <w:tcBorders>
              <w:top w:val="nil"/>
              <w:left w:val="nil"/>
              <w:bottom w:val="single" w:sz="4" w:space="0" w:color="A6A6A6"/>
              <w:right w:val="single" w:sz="4" w:space="0" w:color="A6A6A6"/>
            </w:tcBorders>
            <w:shd w:val="clear" w:color="auto" w:fill="auto"/>
            <w:noWrap/>
            <w:vAlign w:val="bottom"/>
            <w:hideMark/>
          </w:tcPr>
          <w:p w14:paraId="322ACF85"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2.9</w:t>
            </w:r>
          </w:p>
        </w:tc>
        <w:tc>
          <w:tcPr>
            <w:tcW w:w="1380" w:type="dxa"/>
            <w:tcBorders>
              <w:top w:val="nil"/>
              <w:left w:val="nil"/>
              <w:bottom w:val="single" w:sz="4" w:space="0" w:color="A6A6A6"/>
              <w:right w:val="single" w:sz="4" w:space="0" w:color="A6A6A6"/>
            </w:tcBorders>
            <w:shd w:val="clear" w:color="auto" w:fill="auto"/>
            <w:noWrap/>
            <w:vAlign w:val="bottom"/>
            <w:hideMark/>
          </w:tcPr>
          <w:p w14:paraId="2F6802B9"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3.1</w:t>
            </w:r>
          </w:p>
        </w:tc>
      </w:tr>
      <w:tr w:rsidR="000E4FF8" w:rsidRPr="00382A62" w14:paraId="224948A5"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7F850E3C"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Captación a Pasivo Total</w:t>
            </w:r>
          </w:p>
        </w:tc>
        <w:tc>
          <w:tcPr>
            <w:tcW w:w="1320" w:type="dxa"/>
            <w:tcBorders>
              <w:top w:val="nil"/>
              <w:left w:val="nil"/>
              <w:bottom w:val="single" w:sz="4" w:space="0" w:color="A6A6A6"/>
              <w:right w:val="single" w:sz="4" w:space="0" w:color="A6A6A6"/>
            </w:tcBorders>
            <w:shd w:val="clear" w:color="auto" w:fill="auto"/>
            <w:noWrap/>
            <w:vAlign w:val="bottom"/>
            <w:hideMark/>
          </w:tcPr>
          <w:p w14:paraId="2E8007DD"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20.7%</w:t>
            </w:r>
          </w:p>
        </w:tc>
        <w:tc>
          <w:tcPr>
            <w:tcW w:w="1320" w:type="dxa"/>
            <w:tcBorders>
              <w:top w:val="nil"/>
              <w:left w:val="nil"/>
              <w:bottom w:val="single" w:sz="4" w:space="0" w:color="A6A6A6"/>
              <w:right w:val="single" w:sz="4" w:space="0" w:color="A6A6A6"/>
            </w:tcBorders>
            <w:shd w:val="clear" w:color="auto" w:fill="auto"/>
            <w:noWrap/>
            <w:vAlign w:val="bottom"/>
            <w:hideMark/>
          </w:tcPr>
          <w:p w14:paraId="00BA6AB4"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20.9%</w:t>
            </w:r>
          </w:p>
        </w:tc>
        <w:tc>
          <w:tcPr>
            <w:tcW w:w="1380" w:type="dxa"/>
            <w:tcBorders>
              <w:top w:val="nil"/>
              <w:left w:val="nil"/>
              <w:bottom w:val="single" w:sz="4" w:space="0" w:color="A6A6A6"/>
              <w:right w:val="single" w:sz="4" w:space="0" w:color="A6A6A6"/>
            </w:tcBorders>
            <w:shd w:val="clear" w:color="auto" w:fill="auto"/>
            <w:noWrap/>
            <w:vAlign w:val="bottom"/>
            <w:hideMark/>
          </w:tcPr>
          <w:p w14:paraId="0A9C1E76"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10.8%</w:t>
            </w:r>
          </w:p>
        </w:tc>
      </w:tr>
    </w:tbl>
    <w:p w14:paraId="719C17A7" w14:textId="77777777" w:rsidR="00C475C0" w:rsidRDefault="00C475C0" w:rsidP="0065531E">
      <w:pPr>
        <w:spacing w:line="240" w:lineRule="auto"/>
        <w:ind w:firstLine="708"/>
        <w:rPr>
          <w:rFonts w:cs="Arial"/>
          <w:color w:val="7F7F7F" w:themeColor="text1" w:themeTint="80"/>
          <w:szCs w:val="20"/>
        </w:rPr>
      </w:pPr>
    </w:p>
    <w:p w14:paraId="6C8B68C0" w14:textId="7C9169FD" w:rsidR="007605E6" w:rsidRPr="00382A62" w:rsidRDefault="007605E6" w:rsidP="0065531E">
      <w:pPr>
        <w:spacing w:line="240" w:lineRule="auto"/>
        <w:ind w:firstLine="708"/>
        <w:rPr>
          <w:rFonts w:cs="Arial"/>
          <w:color w:val="7F7F7F" w:themeColor="text1" w:themeTint="80"/>
          <w:szCs w:val="20"/>
        </w:rPr>
      </w:pPr>
      <w:r w:rsidRPr="00382A62">
        <w:rPr>
          <w:rFonts w:cs="Arial"/>
          <w:color w:val="7F7F7F" w:themeColor="text1" w:themeTint="80"/>
          <w:szCs w:val="20"/>
        </w:rPr>
        <w:t>Fuente: Estados Financieros Auditados al 31 de diciembre de 202</w:t>
      </w:r>
      <w:r w:rsidR="00A13589">
        <w:rPr>
          <w:rFonts w:cs="Arial"/>
          <w:color w:val="7F7F7F" w:themeColor="text1" w:themeTint="80"/>
          <w:szCs w:val="20"/>
        </w:rPr>
        <w:t>1</w:t>
      </w:r>
      <w:r w:rsidR="00D02097" w:rsidRPr="00382A62">
        <w:rPr>
          <w:rFonts w:cs="Arial"/>
          <w:color w:val="7F7F7F" w:themeColor="text1" w:themeTint="80"/>
          <w:szCs w:val="20"/>
        </w:rPr>
        <w:t xml:space="preserve">, 2022 </w:t>
      </w:r>
      <w:r w:rsidRPr="00382A62">
        <w:rPr>
          <w:rFonts w:cs="Arial"/>
          <w:color w:val="7F7F7F" w:themeColor="text1" w:themeTint="80"/>
          <w:szCs w:val="20"/>
        </w:rPr>
        <w:t>y 202</w:t>
      </w:r>
      <w:r w:rsidR="00D02097" w:rsidRPr="00382A62">
        <w:rPr>
          <w:rFonts w:cs="Arial"/>
          <w:color w:val="7F7F7F" w:themeColor="text1" w:themeTint="80"/>
          <w:szCs w:val="20"/>
        </w:rPr>
        <w:t>3</w:t>
      </w:r>
    </w:p>
    <w:p w14:paraId="6629C5CE" w14:textId="278608D8" w:rsidR="007605E6" w:rsidRPr="00382A62" w:rsidRDefault="007605E6" w:rsidP="007605E6">
      <w:pPr>
        <w:rPr>
          <w:rFonts w:cs="Arial"/>
          <w:szCs w:val="20"/>
        </w:rPr>
      </w:pPr>
    </w:p>
    <w:p w14:paraId="6B96592F" w14:textId="77777777" w:rsidR="007605E6" w:rsidRPr="00382A62" w:rsidRDefault="007605E6" w:rsidP="007605E6">
      <w:pPr>
        <w:pStyle w:val="Ttulo3"/>
        <w:numPr>
          <w:ilvl w:val="1"/>
          <w:numId w:val="10"/>
        </w:numPr>
        <w:rPr>
          <w:rFonts w:cs="Arial"/>
          <w:sz w:val="20"/>
          <w:szCs w:val="20"/>
        </w:rPr>
      </w:pPr>
      <w:bookmarkStart w:id="65" w:name="_Toc131092870"/>
      <w:bookmarkStart w:id="66" w:name="_Toc131501069"/>
      <w:bookmarkStart w:id="67" w:name="_Toc169624628"/>
      <w:r w:rsidRPr="00382A62">
        <w:rPr>
          <w:rFonts w:cs="Arial"/>
          <w:sz w:val="20"/>
          <w:szCs w:val="20"/>
        </w:rPr>
        <w:t>Índices de liquidez</w:t>
      </w:r>
      <w:bookmarkEnd w:id="65"/>
      <w:bookmarkEnd w:id="66"/>
      <w:bookmarkEnd w:id="67"/>
    </w:p>
    <w:p w14:paraId="01E848C1" w14:textId="77777777" w:rsidR="007605E6" w:rsidRPr="00382A62" w:rsidRDefault="007605E6" w:rsidP="007605E6">
      <w:pPr>
        <w:pStyle w:val="Prrafodelista"/>
        <w:numPr>
          <w:ilvl w:val="0"/>
          <w:numId w:val="19"/>
        </w:numPr>
        <w:rPr>
          <w:rFonts w:cs="Arial"/>
          <w:b/>
          <w:bCs/>
          <w:szCs w:val="20"/>
        </w:rPr>
      </w:pPr>
      <w:r w:rsidRPr="00382A62">
        <w:rPr>
          <w:rFonts w:cs="Arial"/>
          <w:b/>
          <w:bCs/>
          <w:szCs w:val="20"/>
        </w:rPr>
        <w:t>Liquidez corriente</w:t>
      </w:r>
    </w:p>
    <w:p w14:paraId="7C1FB635" w14:textId="25170714" w:rsidR="007605E6" w:rsidRPr="00382A62" w:rsidRDefault="007605E6" w:rsidP="007605E6">
      <w:pPr>
        <w:rPr>
          <w:rFonts w:cs="Arial"/>
          <w:szCs w:val="20"/>
        </w:rPr>
      </w:pPr>
      <w:r w:rsidRPr="00382A62">
        <w:rPr>
          <w:rFonts w:cs="Arial"/>
          <w:szCs w:val="20"/>
        </w:rPr>
        <w:t>El cálculo de esta razón corresponde a dividir el activo circulante entre el pasivo circulante, y se interpreta como el número de veces que el activo a corto plazo cubre el pasivo a corto plazo. Debido a que ambas variables tienen un período de vencimiento similar, este es un buen indicador para medir la liquidez de una empresa en un momento determinado.</w:t>
      </w:r>
    </w:p>
    <w:p w14:paraId="679E184C" w14:textId="4D947E7C" w:rsidR="007605E6" w:rsidRPr="00382A62" w:rsidRDefault="007605E6" w:rsidP="007605E6">
      <w:pPr>
        <w:pStyle w:val="Descripcin"/>
        <w:rPr>
          <w:rFonts w:cs="Arial"/>
          <w:szCs w:val="20"/>
        </w:rPr>
      </w:pPr>
      <w:bookmarkStart w:id="68" w:name="_Toc169624707"/>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11</w:t>
      </w:r>
      <w:r w:rsidR="00423C23" w:rsidRPr="00382A62">
        <w:rPr>
          <w:rFonts w:cs="Arial"/>
          <w:noProof/>
          <w:szCs w:val="20"/>
        </w:rPr>
        <w:fldChar w:fldCharType="end"/>
      </w:r>
      <w:r w:rsidRPr="00382A62">
        <w:rPr>
          <w:rFonts w:cs="Arial"/>
          <w:szCs w:val="20"/>
        </w:rPr>
        <w:t xml:space="preserve"> - Liquidez Corriente</w:t>
      </w:r>
      <w:bookmarkEnd w:id="68"/>
    </w:p>
    <w:tbl>
      <w:tblPr>
        <w:tblW w:w="9445" w:type="dxa"/>
        <w:jc w:val="center"/>
        <w:tblCellMar>
          <w:left w:w="70" w:type="dxa"/>
          <w:right w:w="70" w:type="dxa"/>
        </w:tblCellMar>
        <w:tblLook w:val="04A0" w:firstRow="1" w:lastRow="0" w:firstColumn="1" w:lastColumn="0" w:noHBand="0" w:noVBand="1"/>
      </w:tblPr>
      <w:tblGrid>
        <w:gridCol w:w="3354"/>
        <w:gridCol w:w="1231"/>
        <w:gridCol w:w="1231"/>
        <w:gridCol w:w="1283"/>
        <w:gridCol w:w="1173"/>
        <w:gridCol w:w="1173"/>
      </w:tblGrid>
      <w:tr w:rsidR="00C97EB9" w:rsidRPr="00382A62" w14:paraId="6DBEBB1A" w14:textId="77777777" w:rsidTr="00C97EB9">
        <w:trPr>
          <w:trHeight w:val="280"/>
          <w:jc w:val="center"/>
        </w:trPr>
        <w:tc>
          <w:tcPr>
            <w:tcW w:w="335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28A8400" w14:textId="77777777" w:rsidR="00C97EB9" w:rsidRPr="00382A62" w:rsidRDefault="00C97EB9" w:rsidP="00C97EB9">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Liquidez Corriente</w:t>
            </w:r>
          </w:p>
        </w:tc>
        <w:tc>
          <w:tcPr>
            <w:tcW w:w="3745"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66F6A54D" w14:textId="77777777" w:rsidR="00C97EB9" w:rsidRPr="00382A62" w:rsidRDefault="00C97EB9" w:rsidP="00C97EB9">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173"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1F3068BF" w14:textId="77777777" w:rsidR="00C97EB9" w:rsidRPr="00382A62" w:rsidRDefault="00C97EB9" w:rsidP="00C97EB9">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173"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F2F1ED6" w14:textId="77777777" w:rsidR="00C97EB9" w:rsidRPr="00382A62" w:rsidRDefault="00C97EB9" w:rsidP="00C97EB9">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C97EB9" w:rsidRPr="00382A62" w14:paraId="741144CE" w14:textId="77777777" w:rsidTr="00C97EB9">
        <w:trPr>
          <w:trHeight w:val="261"/>
          <w:jc w:val="center"/>
        </w:trPr>
        <w:tc>
          <w:tcPr>
            <w:tcW w:w="3354" w:type="dxa"/>
            <w:vMerge/>
            <w:tcBorders>
              <w:top w:val="single" w:sz="4" w:space="0" w:color="A6A6A6"/>
              <w:left w:val="single" w:sz="4" w:space="0" w:color="A6A6A6"/>
              <w:bottom w:val="single" w:sz="4" w:space="0" w:color="A6A6A6"/>
              <w:right w:val="single" w:sz="4" w:space="0" w:color="A6A6A6"/>
            </w:tcBorders>
            <w:vAlign w:val="center"/>
            <w:hideMark/>
          </w:tcPr>
          <w:p w14:paraId="491CB999" w14:textId="77777777" w:rsidR="00C97EB9" w:rsidRPr="00382A62" w:rsidRDefault="00C97EB9" w:rsidP="00C97EB9">
            <w:pPr>
              <w:spacing w:after="0" w:line="240" w:lineRule="auto"/>
              <w:jc w:val="left"/>
              <w:rPr>
                <w:rFonts w:eastAsia="Times New Roman" w:cs="Arial"/>
                <w:b/>
                <w:bCs/>
                <w:color w:val="000000"/>
                <w:szCs w:val="20"/>
                <w:lang w:val="es-419" w:eastAsia="es-419"/>
              </w:rPr>
            </w:pPr>
          </w:p>
        </w:tc>
        <w:tc>
          <w:tcPr>
            <w:tcW w:w="1231" w:type="dxa"/>
            <w:tcBorders>
              <w:top w:val="nil"/>
              <w:left w:val="nil"/>
              <w:bottom w:val="single" w:sz="4" w:space="0" w:color="A6A6A6"/>
              <w:right w:val="single" w:sz="4" w:space="0" w:color="A6A6A6"/>
            </w:tcBorders>
            <w:shd w:val="clear" w:color="000000" w:fill="F2F2F2"/>
            <w:noWrap/>
            <w:vAlign w:val="center"/>
            <w:hideMark/>
          </w:tcPr>
          <w:p w14:paraId="6E0904CF" w14:textId="77777777" w:rsidR="00C97EB9" w:rsidRPr="00382A62" w:rsidRDefault="00C97EB9" w:rsidP="00C97EB9">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231" w:type="dxa"/>
            <w:tcBorders>
              <w:top w:val="nil"/>
              <w:left w:val="nil"/>
              <w:bottom w:val="single" w:sz="4" w:space="0" w:color="A6A6A6"/>
              <w:right w:val="single" w:sz="4" w:space="0" w:color="A6A6A6"/>
            </w:tcBorders>
            <w:shd w:val="clear" w:color="000000" w:fill="F2F2F2"/>
            <w:noWrap/>
            <w:vAlign w:val="center"/>
            <w:hideMark/>
          </w:tcPr>
          <w:p w14:paraId="6B0A7E6B" w14:textId="77777777" w:rsidR="00C97EB9" w:rsidRPr="00382A62" w:rsidRDefault="00C97EB9" w:rsidP="00C97EB9">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283" w:type="dxa"/>
            <w:tcBorders>
              <w:top w:val="nil"/>
              <w:left w:val="nil"/>
              <w:bottom w:val="single" w:sz="4" w:space="0" w:color="A6A6A6"/>
              <w:right w:val="single" w:sz="4" w:space="0" w:color="A6A6A6"/>
            </w:tcBorders>
            <w:shd w:val="clear" w:color="000000" w:fill="F2F2F2"/>
            <w:noWrap/>
            <w:vAlign w:val="center"/>
            <w:hideMark/>
          </w:tcPr>
          <w:p w14:paraId="0CA0CD94" w14:textId="77777777" w:rsidR="00C97EB9" w:rsidRPr="00382A62" w:rsidRDefault="00C97EB9" w:rsidP="00C97EB9">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173" w:type="dxa"/>
            <w:vMerge/>
            <w:tcBorders>
              <w:top w:val="single" w:sz="4" w:space="0" w:color="A6A6A6"/>
              <w:left w:val="single" w:sz="4" w:space="0" w:color="A6A6A6"/>
              <w:bottom w:val="single" w:sz="4" w:space="0" w:color="A6A6A6"/>
              <w:right w:val="single" w:sz="4" w:space="0" w:color="A6A6A6"/>
            </w:tcBorders>
            <w:vAlign w:val="center"/>
            <w:hideMark/>
          </w:tcPr>
          <w:p w14:paraId="0FFB603D" w14:textId="77777777" w:rsidR="00C97EB9" w:rsidRPr="00382A62" w:rsidRDefault="00C97EB9" w:rsidP="00C97EB9">
            <w:pPr>
              <w:spacing w:after="0" w:line="240" w:lineRule="auto"/>
              <w:jc w:val="left"/>
              <w:rPr>
                <w:rFonts w:eastAsia="Times New Roman" w:cs="Arial"/>
                <w:b/>
                <w:bCs/>
                <w:color w:val="000000"/>
                <w:szCs w:val="20"/>
                <w:lang w:val="es-419" w:eastAsia="es-419"/>
              </w:rPr>
            </w:pPr>
          </w:p>
        </w:tc>
        <w:tc>
          <w:tcPr>
            <w:tcW w:w="1173" w:type="dxa"/>
            <w:vMerge/>
            <w:tcBorders>
              <w:top w:val="single" w:sz="4" w:space="0" w:color="A6A6A6"/>
              <w:left w:val="single" w:sz="4" w:space="0" w:color="A6A6A6"/>
              <w:bottom w:val="single" w:sz="4" w:space="0" w:color="A6A6A6"/>
              <w:right w:val="single" w:sz="4" w:space="0" w:color="A6A6A6"/>
            </w:tcBorders>
            <w:vAlign w:val="center"/>
            <w:hideMark/>
          </w:tcPr>
          <w:p w14:paraId="39A7C3DA" w14:textId="77777777" w:rsidR="00C97EB9" w:rsidRPr="00382A62" w:rsidRDefault="00C97EB9" w:rsidP="00C97EB9">
            <w:pPr>
              <w:spacing w:after="0" w:line="240" w:lineRule="auto"/>
              <w:jc w:val="left"/>
              <w:rPr>
                <w:rFonts w:eastAsia="Times New Roman" w:cs="Arial"/>
                <w:b/>
                <w:bCs/>
                <w:color w:val="000000"/>
                <w:szCs w:val="20"/>
                <w:lang w:val="es-419" w:eastAsia="es-419"/>
              </w:rPr>
            </w:pPr>
          </w:p>
        </w:tc>
      </w:tr>
      <w:tr w:rsidR="00C97EB9" w:rsidRPr="00382A62" w14:paraId="398E84E0" w14:textId="77777777" w:rsidTr="00C97EB9">
        <w:trPr>
          <w:trHeight w:val="261"/>
          <w:jc w:val="center"/>
        </w:trPr>
        <w:tc>
          <w:tcPr>
            <w:tcW w:w="3354" w:type="dxa"/>
            <w:tcBorders>
              <w:top w:val="nil"/>
              <w:left w:val="single" w:sz="4" w:space="0" w:color="A6A6A6"/>
              <w:bottom w:val="single" w:sz="4" w:space="0" w:color="A6A6A6"/>
              <w:right w:val="single" w:sz="4" w:space="0" w:color="A6A6A6"/>
            </w:tcBorders>
            <w:shd w:val="clear" w:color="auto" w:fill="auto"/>
            <w:noWrap/>
            <w:vAlign w:val="bottom"/>
            <w:hideMark/>
          </w:tcPr>
          <w:p w14:paraId="55897F08" w14:textId="77777777" w:rsidR="00C97EB9" w:rsidRPr="00382A62" w:rsidRDefault="00C97EB9" w:rsidP="00C97EB9">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Activo Circulante </w:t>
            </w:r>
          </w:p>
        </w:tc>
        <w:tc>
          <w:tcPr>
            <w:tcW w:w="1231" w:type="dxa"/>
            <w:tcBorders>
              <w:top w:val="nil"/>
              <w:left w:val="nil"/>
              <w:bottom w:val="single" w:sz="4" w:space="0" w:color="A6A6A6"/>
              <w:right w:val="single" w:sz="4" w:space="0" w:color="A6A6A6"/>
            </w:tcBorders>
            <w:shd w:val="clear" w:color="auto" w:fill="auto"/>
            <w:noWrap/>
            <w:vAlign w:val="bottom"/>
            <w:hideMark/>
          </w:tcPr>
          <w:p w14:paraId="16DB3AD6"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229,914 </w:t>
            </w:r>
          </w:p>
        </w:tc>
        <w:tc>
          <w:tcPr>
            <w:tcW w:w="1231" w:type="dxa"/>
            <w:tcBorders>
              <w:top w:val="nil"/>
              <w:left w:val="nil"/>
              <w:bottom w:val="single" w:sz="4" w:space="0" w:color="A6A6A6"/>
              <w:right w:val="single" w:sz="4" w:space="0" w:color="A6A6A6"/>
            </w:tcBorders>
            <w:shd w:val="clear" w:color="auto" w:fill="auto"/>
            <w:noWrap/>
            <w:vAlign w:val="bottom"/>
            <w:hideMark/>
          </w:tcPr>
          <w:p w14:paraId="736CF0EA"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251,045 </w:t>
            </w:r>
          </w:p>
        </w:tc>
        <w:tc>
          <w:tcPr>
            <w:tcW w:w="1283" w:type="dxa"/>
            <w:tcBorders>
              <w:top w:val="nil"/>
              <w:left w:val="nil"/>
              <w:bottom w:val="single" w:sz="4" w:space="0" w:color="A6A6A6"/>
              <w:right w:val="single" w:sz="4" w:space="0" w:color="A6A6A6"/>
            </w:tcBorders>
            <w:shd w:val="clear" w:color="auto" w:fill="auto"/>
            <w:noWrap/>
            <w:vAlign w:val="bottom"/>
            <w:hideMark/>
          </w:tcPr>
          <w:p w14:paraId="356344A8"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222,158 </w:t>
            </w:r>
          </w:p>
        </w:tc>
        <w:tc>
          <w:tcPr>
            <w:tcW w:w="1173" w:type="dxa"/>
            <w:tcBorders>
              <w:top w:val="nil"/>
              <w:left w:val="nil"/>
              <w:bottom w:val="single" w:sz="4" w:space="0" w:color="A6A6A6"/>
              <w:right w:val="single" w:sz="4" w:space="0" w:color="A6A6A6"/>
            </w:tcBorders>
            <w:shd w:val="clear" w:color="auto" w:fill="auto"/>
            <w:noWrap/>
            <w:vAlign w:val="bottom"/>
            <w:hideMark/>
          </w:tcPr>
          <w:p w14:paraId="3C4DC06A"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28,887 </w:t>
            </w:r>
          </w:p>
        </w:tc>
        <w:tc>
          <w:tcPr>
            <w:tcW w:w="1173" w:type="dxa"/>
            <w:tcBorders>
              <w:top w:val="nil"/>
              <w:left w:val="nil"/>
              <w:bottom w:val="single" w:sz="4" w:space="0" w:color="A6A6A6"/>
              <w:right w:val="single" w:sz="4" w:space="0" w:color="A6A6A6"/>
            </w:tcBorders>
            <w:shd w:val="clear" w:color="auto" w:fill="auto"/>
            <w:noWrap/>
            <w:vAlign w:val="bottom"/>
            <w:hideMark/>
          </w:tcPr>
          <w:p w14:paraId="0DDB851E"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-11.5%</w:t>
            </w:r>
          </w:p>
        </w:tc>
      </w:tr>
      <w:tr w:rsidR="00C97EB9" w:rsidRPr="00382A62" w14:paraId="7A6516BD" w14:textId="77777777" w:rsidTr="00C97EB9">
        <w:trPr>
          <w:trHeight w:val="261"/>
          <w:jc w:val="center"/>
        </w:trPr>
        <w:tc>
          <w:tcPr>
            <w:tcW w:w="3354" w:type="dxa"/>
            <w:tcBorders>
              <w:top w:val="nil"/>
              <w:left w:val="single" w:sz="4" w:space="0" w:color="A6A6A6"/>
              <w:bottom w:val="single" w:sz="4" w:space="0" w:color="A6A6A6"/>
              <w:right w:val="single" w:sz="4" w:space="0" w:color="A6A6A6"/>
            </w:tcBorders>
            <w:shd w:val="clear" w:color="auto" w:fill="auto"/>
            <w:noWrap/>
            <w:vAlign w:val="bottom"/>
            <w:hideMark/>
          </w:tcPr>
          <w:p w14:paraId="2B8C48F6" w14:textId="77777777" w:rsidR="00C97EB9" w:rsidRPr="00382A62" w:rsidRDefault="00C97EB9" w:rsidP="00C97EB9">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Pasivo Circulante</w:t>
            </w:r>
          </w:p>
        </w:tc>
        <w:tc>
          <w:tcPr>
            <w:tcW w:w="1231" w:type="dxa"/>
            <w:tcBorders>
              <w:top w:val="nil"/>
              <w:left w:val="nil"/>
              <w:bottom w:val="single" w:sz="4" w:space="0" w:color="A6A6A6"/>
              <w:right w:val="single" w:sz="4" w:space="0" w:color="A6A6A6"/>
            </w:tcBorders>
            <w:shd w:val="clear" w:color="auto" w:fill="auto"/>
            <w:noWrap/>
            <w:vAlign w:val="bottom"/>
            <w:hideMark/>
          </w:tcPr>
          <w:p w14:paraId="3FD7D910"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165,525 </w:t>
            </w:r>
          </w:p>
        </w:tc>
        <w:tc>
          <w:tcPr>
            <w:tcW w:w="1231" w:type="dxa"/>
            <w:tcBorders>
              <w:top w:val="nil"/>
              <w:left w:val="nil"/>
              <w:bottom w:val="single" w:sz="4" w:space="0" w:color="A6A6A6"/>
              <w:right w:val="single" w:sz="4" w:space="0" w:color="A6A6A6"/>
            </w:tcBorders>
            <w:shd w:val="clear" w:color="auto" w:fill="auto"/>
            <w:noWrap/>
            <w:vAlign w:val="bottom"/>
            <w:hideMark/>
          </w:tcPr>
          <w:p w14:paraId="56AF1088"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240,564 </w:t>
            </w:r>
          </w:p>
        </w:tc>
        <w:tc>
          <w:tcPr>
            <w:tcW w:w="1283" w:type="dxa"/>
            <w:tcBorders>
              <w:top w:val="nil"/>
              <w:left w:val="nil"/>
              <w:bottom w:val="single" w:sz="4" w:space="0" w:color="A6A6A6"/>
              <w:right w:val="single" w:sz="4" w:space="0" w:color="A6A6A6"/>
            </w:tcBorders>
            <w:shd w:val="clear" w:color="auto" w:fill="auto"/>
            <w:noWrap/>
            <w:vAlign w:val="bottom"/>
            <w:hideMark/>
          </w:tcPr>
          <w:p w14:paraId="151A0375"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196,206 </w:t>
            </w:r>
          </w:p>
        </w:tc>
        <w:tc>
          <w:tcPr>
            <w:tcW w:w="1173" w:type="dxa"/>
            <w:tcBorders>
              <w:top w:val="nil"/>
              <w:left w:val="nil"/>
              <w:bottom w:val="single" w:sz="4" w:space="0" w:color="A6A6A6"/>
              <w:right w:val="single" w:sz="4" w:space="0" w:color="A6A6A6"/>
            </w:tcBorders>
            <w:shd w:val="clear" w:color="auto" w:fill="auto"/>
            <w:noWrap/>
            <w:vAlign w:val="bottom"/>
            <w:hideMark/>
          </w:tcPr>
          <w:p w14:paraId="22034F03"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44,358 </w:t>
            </w:r>
          </w:p>
        </w:tc>
        <w:tc>
          <w:tcPr>
            <w:tcW w:w="1173" w:type="dxa"/>
            <w:tcBorders>
              <w:top w:val="nil"/>
              <w:left w:val="nil"/>
              <w:bottom w:val="single" w:sz="4" w:space="0" w:color="A6A6A6"/>
              <w:right w:val="single" w:sz="4" w:space="0" w:color="A6A6A6"/>
            </w:tcBorders>
            <w:shd w:val="clear" w:color="auto" w:fill="auto"/>
            <w:noWrap/>
            <w:vAlign w:val="bottom"/>
            <w:hideMark/>
          </w:tcPr>
          <w:p w14:paraId="73FADFB5"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-18.4%</w:t>
            </w:r>
          </w:p>
        </w:tc>
      </w:tr>
      <w:tr w:rsidR="00C97EB9" w:rsidRPr="00382A62" w14:paraId="3D3738D6" w14:textId="77777777" w:rsidTr="00C97EB9">
        <w:trPr>
          <w:trHeight w:val="261"/>
          <w:jc w:val="center"/>
        </w:trPr>
        <w:tc>
          <w:tcPr>
            <w:tcW w:w="3354" w:type="dxa"/>
            <w:tcBorders>
              <w:top w:val="nil"/>
              <w:left w:val="single" w:sz="4" w:space="0" w:color="A6A6A6"/>
              <w:bottom w:val="single" w:sz="4" w:space="0" w:color="A6A6A6"/>
              <w:right w:val="single" w:sz="4" w:space="0" w:color="A6A6A6"/>
            </w:tcBorders>
            <w:shd w:val="clear" w:color="auto" w:fill="auto"/>
            <w:noWrap/>
            <w:vAlign w:val="bottom"/>
            <w:hideMark/>
          </w:tcPr>
          <w:p w14:paraId="132657C2" w14:textId="77777777" w:rsidR="00C97EB9" w:rsidRPr="00382A62" w:rsidRDefault="00C97EB9" w:rsidP="00C97EB9">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Liquidez Corriente</w:t>
            </w:r>
          </w:p>
        </w:tc>
        <w:tc>
          <w:tcPr>
            <w:tcW w:w="1231" w:type="dxa"/>
            <w:tcBorders>
              <w:top w:val="nil"/>
              <w:left w:val="nil"/>
              <w:bottom w:val="single" w:sz="4" w:space="0" w:color="A6A6A6"/>
              <w:right w:val="single" w:sz="4" w:space="0" w:color="A6A6A6"/>
            </w:tcBorders>
            <w:shd w:val="clear" w:color="auto" w:fill="auto"/>
            <w:noWrap/>
            <w:vAlign w:val="bottom"/>
            <w:hideMark/>
          </w:tcPr>
          <w:p w14:paraId="41017422"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1.4 </w:t>
            </w:r>
          </w:p>
        </w:tc>
        <w:tc>
          <w:tcPr>
            <w:tcW w:w="1231" w:type="dxa"/>
            <w:tcBorders>
              <w:top w:val="nil"/>
              <w:left w:val="nil"/>
              <w:bottom w:val="single" w:sz="4" w:space="0" w:color="A6A6A6"/>
              <w:right w:val="single" w:sz="4" w:space="0" w:color="A6A6A6"/>
            </w:tcBorders>
            <w:shd w:val="clear" w:color="auto" w:fill="auto"/>
            <w:noWrap/>
            <w:vAlign w:val="bottom"/>
            <w:hideMark/>
          </w:tcPr>
          <w:p w14:paraId="6FD12134"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1.0 </w:t>
            </w:r>
          </w:p>
        </w:tc>
        <w:tc>
          <w:tcPr>
            <w:tcW w:w="1283" w:type="dxa"/>
            <w:tcBorders>
              <w:top w:val="nil"/>
              <w:left w:val="nil"/>
              <w:bottom w:val="single" w:sz="4" w:space="0" w:color="A6A6A6"/>
              <w:right w:val="single" w:sz="4" w:space="0" w:color="A6A6A6"/>
            </w:tcBorders>
            <w:shd w:val="clear" w:color="auto" w:fill="auto"/>
            <w:noWrap/>
            <w:vAlign w:val="bottom"/>
            <w:hideMark/>
          </w:tcPr>
          <w:p w14:paraId="44F3B476"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1.1 </w:t>
            </w:r>
          </w:p>
        </w:tc>
        <w:tc>
          <w:tcPr>
            <w:tcW w:w="1173" w:type="dxa"/>
            <w:tcBorders>
              <w:top w:val="nil"/>
              <w:left w:val="nil"/>
              <w:bottom w:val="single" w:sz="4" w:space="0" w:color="A6A6A6"/>
              <w:right w:val="single" w:sz="4" w:space="0" w:color="A6A6A6"/>
            </w:tcBorders>
            <w:shd w:val="clear" w:color="auto" w:fill="auto"/>
            <w:noWrap/>
            <w:vAlign w:val="bottom"/>
            <w:hideMark/>
          </w:tcPr>
          <w:p w14:paraId="545EF459"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0.1 </w:t>
            </w:r>
          </w:p>
        </w:tc>
        <w:tc>
          <w:tcPr>
            <w:tcW w:w="1173" w:type="dxa"/>
            <w:tcBorders>
              <w:top w:val="nil"/>
              <w:left w:val="nil"/>
              <w:bottom w:val="single" w:sz="4" w:space="0" w:color="A6A6A6"/>
              <w:right w:val="single" w:sz="4" w:space="0" w:color="A6A6A6"/>
            </w:tcBorders>
            <w:shd w:val="clear" w:color="auto" w:fill="auto"/>
            <w:noWrap/>
            <w:vAlign w:val="bottom"/>
            <w:hideMark/>
          </w:tcPr>
          <w:p w14:paraId="59D0E03C"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8.5%</w:t>
            </w:r>
          </w:p>
        </w:tc>
      </w:tr>
    </w:tbl>
    <w:p w14:paraId="11B948EB" w14:textId="77777777" w:rsidR="007605E6" w:rsidRPr="00382A62" w:rsidRDefault="007605E6" w:rsidP="007605E6">
      <w:pPr>
        <w:jc w:val="center"/>
        <w:rPr>
          <w:rFonts w:cs="Arial"/>
          <w:szCs w:val="20"/>
        </w:rPr>
      </w:pPr>
    </w:p>
    <w:p w14:paraId="0C2F1566" w14:textId="604D4657" w:rsidR="007605E6" w:rsidRPr="00382A62" w:rsidRDefault="007605E6" w:rsidP="007605E6">
      <w:pPr>
        <w:rPr>
          <w:rFonts w:cs="Arial"/>
          <w:szCs w:val="20"/>
        </w:rPr>
      </w:pPr>
      <w:r w:rsidRPr="00382A62">
        <w:rPr>
          <w:rFonts w:cs="Arial"/>
          <w:szCs w:val="20"/>
        </w:rPr>
        <w:t>Para el cierre del período 202</w:t>
      </w:r>
      <w:r w:rsidR="00744C7C" w:rsidRPr="00382A62">
        <w:rPr>
          <w:rFonts w:cs="Arial"/>
          <w:szCs w:val="20"/>
        </w:rPr>
        <w:t>3</w:t>
      </w:r>
      <w:r w:rsidRPr="00382A62">
        <w:rPr>
          <w:rFonts w:cs="Arial"/>
          <w:szCs w:val="20"/>
        </w:rPr>
        <w:t xml:space="preserve">, esta razón </w:t>
      </w:r>
      <w:r w:rsidR="009A49D5" w:rsidRPr="00382A62">
        <w:rPr>
          <w:rFonts w:cs="Arial"/>
          <w:szCs w:val="20"/>
        </w:rPr>
        <w:t>aumenta</w:t>
      </w:r>
      <w:r w:rsidRPr="00382A62">
        <w:rPr>
          <w:rFonts w:cs="Arial"/>
          <w:szCs w:val="20"/>
        </w:rPr>
        <w:t xml:space="preserve"> de 1,0</w:t>
      </w:r>
      <w:r w:rsidR="00744C7C" w:rsidRPr="00382A62">
        <w:rPr>
          <w:rFonts w:cs="Arial"/>
          <w:szCs w:val="20"/>
        </w:rPr>
        <w:t xml:space="preserve"> a </w:t>
      </w:r>
      <w:r w:rsidR="009A49D5" w:rsidRPr="00382A62">
        <w:rPr>
          <w:rFonts w:cs="Arial"/>
          <w:szCs w:val="20"/>
        </w:rPr>
        <w:t>1.1</w:t>
      </w:r>
      <w:r w:rsidRPr="00382A62">
        <w:rPr>
          <w:rFonts w:cs="Arial"/>
          <w:szCs w:val="20"/>
        </w:rPr>
        <w:t xml:space="preserve"> veces </w:t>
      </w:r>
      <w:r w:rsidR="00D12B0C" w:rsidRPr="00382A62">
        <w:rPr>
          <w:rFonts w:cs="Arial"/>
          <w:szCs w:val="20"/>
        </w:rPr>
        <w:t xml:space="preserve">debido a que las obligaciones con los </w:t>
      </w:r>
      <w:r w:rsidRPr="00382A62">
        <w:rPr>
          <w:rFonts w:cs="Arial"/>
          <w:szCs w:val="20"/>
        </w:rPr>
        <w:t>acreedores de corto plazo</w:t>
      </w:r>
      <w:r w:rsidR="00D12B0C" w:rsidRPr="00382A62">
        <w:rPr>
          <w:rFonts w:cs="Arial"/>
          <w:szCs w:val="20"/>
        </w:rPr>
        <w:t xml:space="preserve"> </w:t>
      </w:r>
      <w:r w:rsidR="00B121B3" w:rsidRPr="00382A62">
        <w:rPr>
          <w:rFonts w:cs="Arial"/>
          <w:szCs w:val="20"/>
        </w:rPr>
        <w:t>disminuyeron</w:t>
      </w:r>
      <w:r w:rsidR="00D12B0C" w:rsidRPr="00382A62">
        <w:rPr>
          <w:rFonts w:cs="Arial"/>
          <w:szCs w:val="20"/>
        </w:rPr>
        <w:t xml:space="preserve"> más que l</w:t>
      </w:r>
      <w:r w:rsidR="001E5BEF" w:rsidRPr="00382A62">
        <w:rPr>
          <w:rFonts w:cs="Arial"/>
          <w:szCs w:val="20"/>
        </w:rPr>
        <w:t>os activos de corto plazo</w:t>
      </w:r>
      <w:r w:rsidRPr="00382A62">
        <w:rPr>
          <w:rFonts w:cs="Arial"/>
          <w:szCs w:val="20"/>
        </w:rPr>
        <w:t>.</w:t>
      </w:r>
    </w:p>
    <w:p w14:paraId="05549C1C" w14:textId="77777777" w:rsidR="007605E6" w:rsidRPr="00382A62" w:rsidRDefault="007605E6" w:rsidP="007605E6">
      <w:pPr>
        <w:pStyle w:val="Prrafodelista"/>
        <w:numPr>
          <w:ilvl w:val="0"/>
          <w:numId w:val="19"/>
        </w:numPr>
        <w:rPr>
          <w:rFonts w:cs="Arial"/>
          <w:b/>
          <w:bCs/>
          <w:szCs w:val="20"/>
        </w:rPr>
      </w:pPr>
      <w:r w:rsidRPr="00382A62">
        <w:rPr>
          <w:rFonts w:cs="Arial"/>
          <w:b/>
          <w:bCs/>
          <w:szCs w:val="20"/>
        </w:rPr>
        <w:t>Razón Ácida</w:t>
      </w:r>
    </w:p>
    <w:p w14:paraId="19F59E8A" w14:textId="77777777" w:rsidR="007605E6" w:rsidRPr="00382A62" w:rsidRDefault="007605E6" w:rsidP="007605E6">
      <w:pPr>
        <w:rPr>
          <w:rFonts w:cs="Arial"/>
          <w:szCs w:val="20"/>
        </w:rPr>
      </w:pPr>
      <w:r w:rsidRPr="00382A62">
        <w:rPr>
          <w:rFonts w:cs="Arial"/>
          <w:szCs w:val="20"/>
        </w:rPr>
        <w:t>El cálculo de esta razón corresponde a tomar el activo circulante, restarle los inventarios y el resultado anterior se divide entre el pasivo circulante. Se interpreta como el número de veces en que la empresa puede pagar las obligaciones a corto plazo con sus activos líquidos.</w:t>
      </w:r>
    </w:p>
    <w:p w14:paraId="7ECFC8BB" w14:textId="57429720" w:rsidR="007605E6" w:rsidRPr="00382A62" w:rsidRDefault="007605E6" w:rsidP="007605E6">
      <w:pPr>
        <w:pStyle w:val="Descripcin"/>
        <w:rPr>
          <w:rFonts w:cs="Arial"/>
          <w:szCs w:val="20"/>
        </w:rPr>
      </w:pPr>
      <w:bookmarkStart w:id="69" w:name="_Toc169624708"/>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12</w:t>
      </w:r>
      <w:r w:rsidR="00423C23" w:rsidRPr="00382A62">
        <w:rPr>
          <w:rFonts w:cs="Arial"/>
          <w:noProof/>
          <w:szCs w:val="20"/>
        </w:rPr>
        <w:fldChar w:fldCharType="end"/>
      </w:r>
      <w:r w:rsidRPr="00382A62">
        <w:rPr>
          <w:rFonts w:cs="Arial"/>
          <w:szCs w:val="20"/>
        </w:rPr>
        <w:t xml:space="preserve"> - Razón Ácida</w:t>
      </w:r>
      <w:bookmarkEnd w:id="69"/>
    </w:p>
    <w:tbl>
      <w:tblPr>
        <w:tblW w:w="10140" w:type="dxa"/>
        <w:jc w:val="center"/>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E433E8" w:rsidRPr="00382A62" w14:paraId="28FEE4EC" w14:textId="77777777" w:rsidTr="00E433E8">
        <w:trPr>
          <w:trHeight w:val="280"/>
          <w:jc w:val="center"/>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96AB628"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Razón Ácida</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6DDAFE3D"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558559C"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8D9076F"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E433E8" w:rsidRPr="00382A62" w14:paraId="3A1607FE" w14:textId="77777777" w:rsidTr="00E433E8">
        <w:trPr>
          <w:trHeight w:val="280"/>
          <w:jc w:val="center"/>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55A10308" w14:textId="77777777" w:rsidR="00E433E8" w:rsidRPr="00382A62" w:rsidRDefault="00E433E8" w:rsidP="00E433E8">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1CFE26D2"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5D2402C1"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498A965B"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64B6FEA4" w14:textId="77777777" w:rsidR="00E433E8" w:rsidRPr="00382A62" w:rsidRDefault="00E433E8" w:rsidP="00E433E8">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5B53D4C2" w14:textId="77777777" w:rsidR="00E433E8" w:rsidRPr="00382A62" w:rsidRDefault="00E433E8" w:rsidP="00E433E8">
            <w:pPr>
              <w:spacing w:after="0" w:line="240" w:lineRule="auto"/>
              <w:jc w:val="left"/>
              <w:rPr>
                <w:rFonts w:eastAsia="Times New Roman" w:cs="Arial"/>
                <w:b/>
                <w:bCs/>
                <w:color w:val="000000"/>
                <w:szCs w:val="20"/>
                <w:lang w:val="es-419" w:eastAsia="es-419"/>
              </w:rPr>
            </w:pPr>
          </w:p>
        </w:tc>
      </w:tr>
      <w:tr w:rsidR="00E433E8" w:rsidRPr="00382A62" w14:paraId="32602E45" w14:textId="77777777" w:rsidTr="00E433E8">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7A3D7C3A" w14:textId="77777777" w:rsidR="00E433E8" w:rsidRPr="00382A62" w:rsidRDefault="00E433E8" w:rsidP="00E433E8">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Activo Circulante </w:t>
            </w:r>
          </w:p>
        </w:tc>
        <w:tc>
          <w:tcPr>
            <w:tcW w:w="1322" w:type="dxa"/>
            <w:tcBorders>
              <w:top w:val="nil"/>
              <w:left w:val="nil"/>
              <w:bottom w:val="single" w:sz="4" w:space="0" w:color="A6A6A6"/>
              <w:right w:val="single" w:sz="4" w:space="0" w:color="A6A6A6"/>
            </w:tcBorders>
            <w:shd w:val="clear" w:color="auto" w:fill="auto"/>
            <w:noWrap/>
            <w:vAlign w:val="bottom"/>
            <w:hideMark/>
          </w:tcPr>
          <w:p w14:paraId="23D3BEEC"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229,914 </w:t>
            </w:r>
          </w:p>
        </w:tc>
        <w:tc>
          <w:tcPr>
            <w:tcW w:w="1322" w:type="dxa"/>
            <w:tcBorders>
              <w:top w:val="nil"/>
              <w:left w:val="nil"/>
              <w:bottom w:val="single" w:sz="4" w:space="0" w:color="A6A6A6"/>
              <w:right w:val="single" w:sz="4" w:space="0" w:color="A6A6A6"/>
            </w:tcBorders>
            <w:shd w:val="clear" w:color="auto" w:fill="auto"/>
            <w:noWrap/>
            <w:vAlign w:val="bottom"/>
            <w:hideMark/>
          </w:tcPr>
          <w:p w14:paraId="0D503556"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251,045 </w:t>
            </w:r>
          </w:p>
        </w:tc>
        <w:tc>
          <w:tcPr>
            <w:tcW w:w="1376" w:type="dxa"/>
            <w:tcBorders>
              <w:top w:val="nil"/>
              <w:left w:val="nil"/>
              <w:bottom w:val="single" w:sz="4" w:space="0" w:color="A6A6A6"/>
              <w:right w:val="single" w:sz="4" w:space="0" w:color="A6A6A6"/>
            </w:tcBorders>
            <w:shd w:val="clear" w:color="auto" w:fill="auto"/>
            <w:noWrap/>
            <w:vAlign w:val="bottom"/>
            <w:hideMark/>
          </w:tcPr>
          <w:p w14:paraId="591AD04C"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222,158 </w:t>
            </w:r>
          </w:p>
        </w:tc>
        <w:tc>
          <w:tcPr>
            <w:tcW w:w="1260" w:type="dxa"/>
            <w:tcBorders>
              <w:top w:val="nil"/>
              <w:left w:val="nil"/>
              <w:bottom w:val="single" w:sz="4" w:space="0" w:color="A6A6A6"/>
              <w:right w:val="single" w:sz="4" w:space="0" w:color="A6A6A6"/>
            </w:tcBorders>
            <w:shd w:val="clear" w:color="auto" w:fill="auto"/>
            <w:noWrap/>
            <w:vAlign w:val="bottom"/>
            <w:hideMark/>
          </w:tcPr>
          <w:p w14:paraId="74B5EC51"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28,887 </w:t>
            </w:r>
          </w:p>
        </w:tc>
        <w:tc>
          <w:tcPr>
            <w:tcW w:w="1260" w:type="dxa"/>
            <w:tcBorders>
              <w:top w:val="nil"/>
              <w:left w:val="nil"/>
              <w:bottom w:val="single" w:sz="4" w:space="0" w:color="A6A6A6"/>
              <w:right w:val="single" w:sz="4" w:space="0" w:color="A6A6A6"/>
            </w:tcBorders>
            <w:shd w:val="clear" w:color="auto" w:fill="auto"/>
            <w:noWrap/>
            <w:vAlign w:val="bottom"/>
            <w:hideMark/>
          </w:tcPr>
          <w:p w14:paraId="0237D12C"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-11.5%</w:t>
            </w:r>
          </w:p>
        </w:tc>
      </w:tr>
      <w:tr w:rsidR="00E433E8" w:rsidRPr="00382A62" w14:paraId="408F97D2" w14:textId="77777777" w:rsidTr="00E433E8">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2EDBEA22" w14:textId="77777777" w:rsidR="00E433E8" w:rsidRPr="00382A62" w:rsidRDefault="00E433E8" w:rsidP="00E433E8">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Inventario</w:t>
            </w:r>
          </w:p>
        </w:tc>
        <w:tc>
          <w:tcPr>
            <w:tcW w:w="1322" w:type="dxa"/>
            <w:tcBorders>
              <w:top w:val="nil"/>
              <w:left w:val="nil"/>
              <w:bottom w:val="single" w:sz="4" w:space="0" w:color="A6A6A6"/>
              <w:right w:val="single" w:sz="4" w:space="0" w:color="A6A6A6"/>
            </w:tcBorders>
            <w:shd w:val="clear" w:color="auto" w:fill="auto"/>
            <w:noWrap/>
            <w:vAlign w:val="bottom"/>
            <w:hideMark/>
          </w:tcPr>
          <w:p w14:paraId="45B1D565"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85,736 </w:t>
            </w:r>
          </w:p>
        </w:tc>
        <w:tc>
          <w:tcPr>
            <w:tcW w:w="1322" w:type="dxa"/>
            <w:tcBorders>
              <w:top w:val="nil"/>
              <w:left w:val="nil"/>
              <w:bottom w:val="single" w:sz="4" w:space="0" w:color="A6A6A6"/>
              <w:right w:val="single" w:sz="4" w:space="0" w:color="A6A6A6"/>
            </w:tcBorders>
            <w:shd w:val="clear" w:color="auto" w:fill="auto"/>
            <w:noWrap/>
            <w:vAlign w:val="bottom"/>
            <w:hideMark/>
          </w:tcPr>
          <w:p w14:paraId="525462A0"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119,334 </w:t>
            </w:r>
          </w:p>
        </w:tc>
        <w:tc>
          <w:tcPr>
            <w:tcW w:w="1376" w:type="dxa"/>
            <w:tcBorders>
              <w:top w:val="nil"/>
              <w:left w:val="nil"/>
              <w:bottom w:val="single" w:sz="4" w:space="0" w:color="A6A6A6"/>
              <w:right w:val="single" w:sz="4" w:space="0" w:color="A6A6A6"/>
            </w:tcBorders>
            <w:shd w:val="clear" w:color="auto" w:fill="auto"/>
            <w:noWrap/>
            <w:vAlign w:val="bottom"/>
            <w:hideMark/>
          </w:tcPr>
          <w:p w14:paraId="0A58734A"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84,861 </w:t>
            </w:r>
          </w:p>
        </w:tc>
        <w:tc>
          <w:tcPr>
            <w:tcW w:w="1260" w:type="dxa"/>
            <w:tcBorders>
              <w:top w:val="nil"/>
              <w:left w:val="nil"/>
              <w:bottom w:val="single" w:sz="4" w:space="0" w:color="A6A6A6"/>
              <w:right w:val="single" w:sz="4" w:space="0" w:color="A6A6A6"/>
            </w:tcBorders>
            <w:shd w:val="clear" w:color="auto" w:fill="auto"/>
            <w:noWrap/>
            <w:vAlign w:val="bottom"/>
            <w:hideMark/>
          </w:tcPr>
          <w:p w14:paraId="7E4B8537"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34,473 </w:t>
            </w:r>
          </w:p>
        </w:tc>
        <w:tc>
          <w:tcPr>
            <w:tcW w:w="1260" w:type="dxa"/>
            <w:tcBorders>
              <w:top w:val="nil"/>
              <w:left w:val="nil"/>
              <w:bottom w:val="single" w:sz="4" w:space="0" w:color="A6A6A6"/>
              <w:right w:val="single" w:sz="4" w:space="0" w:color="A6A6A6"/>
            </w:tcBorders>
            <w:shd w:val="clear" w:color="auto" w:fill="auto"/>
            <w:noWrap/>
            <w:vAlign w:val="bottom"/>
            <w:hideMark/>
          </w:tcPr>
          <w:p w14:paraId="32429D0C"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-28.9%</w:t>
            </w:r>
          </w:p>
        </w:tc>
      </w:tr>
      <w:tr w:rsidR="00E433E8" w:rsidRPr="00382A62" w14:paraId="462F89A8" w14:textId="77777777" w:rsidTr="00E433E8">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5FC0318C" w14:textId="77777777" w:rsidR="00E433E8" w:rsidRPr="00382A62" w:rsidRDefault="00E433E8" w:rsidP="00E433E8">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Pasivo Circulante</w:t>
            </w:r>
          </w:p>
        </w:tc>
        <w:tc>
          <w:tcPr>
            <w:tcW w:w="1322" w:type="dxa"/>
            <w:tcBorders>
              <w:top w:val="nil"/>
              <w:left w:val="nil"/>
              <w:bottom w:val="single" w:sz="4" w:space="0" w:color="A6A6A6"/>
              <w:right w:val="single" w:sz="4" w:space="0" w:color="A6A6A6"/>
            </w:tcBorders>
            <w:shd w:val="clear" w:color="auto" w:fill="auto"/>
            <w:noWrap/>
            <w:vAlign w:val="bottom"/>
            <w:hideMark/>
          </w:tcPr>
          <w:p w14:paraId="6B39B507"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165,525 </w:t>
            </w:r>
          </w:p>
        </w:tc>
        <w:tc>
          <w:tcPr>
            <w:tcW w:w="1322" w:type="dxa"/>
            <w:tcBorders>
              <w:top w:val="nil"/>
              <w:left w:val="nil"/>
              <w:bottom w:val="single" w:sz="4" w:space="0" w:color="A6A6A6"/>
              <w:right w:val="single" w:sz="4" w:space="0" w:color="A6A6A6"/>
            </w:tcBorders>
            <w:shd w:val="clear" w:color="auto" w:fill="auto"/>
            <w:noWrap/>
            <w:vAlign w:val="bottom"/>
            <w:hideMark/>
          </w:tcPr>
          <w:p w14:paraId="1FE2C056"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240,564 </w:t>
            </w:r>
          </w:p>
        </w:tc>
        <w:tc>
          <w:tcPr>
            <w:tcW w:w="1376" w:type="dxa"/>
            <w:tcBorders>
              <w:top w:val="nil"/>
              <w:left w:val="nil"/>
              <w:bottom w:val="single" w:sz="4" w:space="0" w:color="A6A6A6"/>
              <w:right w:val="single" w:sz="4" w:space="0" w:color="A6A6A6"/>
            </w:tcBorders>
            <w:shd w:val="clear" w:color="auto" w:fill="auto"/>
            <w:noWrap/>
            <w:vAlign w:val="bottom"/>
            <w:hideMark/>
          </w:tcPr>
          <w:p w14:paraId="58F96135"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196,206 </w:t>
            </w:r>
          </w:p>
        </w:tc>
        <w:tc>
          <w:tcPr>
            <w:tcW w:w="1260" w:type="dxa"/>
            <w:tcBorders>
              <w:top w:val="nil"/>
              <w:left w:val="nil"/>
              <w:bottom w:val="single" w:sz="4" w:space="0" w:color="A6A6A6"/>
              <w:right w:val="single" w:sz="4" w:space="0" w:color="A6A6A6"/>
            </w:tcBorders>
            <w:shd w:val="clear" w:color="auto" w:fill="auto"/>
            <w:noWrap/>
            <w:vAlign w:val="bottom"/>
            <w:hideMark/>
          </w:tcPr>
          <w:p w14:paraId="72131068"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44,358 </w:t>
            </w:r>
          </w:p>
        </w:tc>
        <w:tc>
          <w:tcPr>
            <w:tcW w:w="1260" w:type="dxa"/>
            <w:tcBorders>
              <w:top w:val="nil"/>
              <w:left w:val="nil"/>
              <w:bottom w:val="single" w:sz="4" w:space="0" w:color="A6A6A6"/>
              <w:right w:val="single" w:sz="4" w:space="0" w:color="A6A6A6"/>
            </w:tcBorders>
            <w:shd w:val="clear" w:color="auto" w:fill="auto"/>
            <w:noWrap/>
            <w:vAlign w:val="bottom"/>
            <w:hideMark/>
          </w:tcPr>
          <w:p w14:paraId="60696409"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-18.4%</w:t>
            </w:r>
          </w:p>
        </w:tc>
      </w:tr>
      <w:tr w:rsidR="00E433E8" w:rsidRPr="00382A62" w14:paraId="36E627DA" w14:textId="77777777" w:rsidTr="00E433E8">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28C0CA73" w14:textId="77777777" w:rsidR="00E433E8" w:rsidRPr="00382A62" w:rsidRDefault="00E433E8" w:rsidP="00E433E8">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Razón Ácida</w:t>
            </w:r>
          </w:p>
        </w:tc>
        <w:tc>
          <w:tcPr>
            <w:tcW w:w="1322" w:type="dxa"/>
            <w:tcBorders>
              <w:top w:val="nil"/>
              <w:left w:val="nil"/>
              <w:bottom w:val="single" w:sz="4" w:space="0" w:color="A6A6A6"/>
              <w:right w:val="single" w:sz="4" w:space="0" w:color="A6A6A6"/>
            </w:tcBorders>
            <w:shd w:val="clear" w:color="auto" w:fill="auto"/>
            <w:noWrap/>
            <w:vAlign w:val="bottom"/>
            <w:hideMark/>
          </w:tcPr>
          <w:p w14:paraId="07235E25"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0.9 </w:t>
            </w:r>
          </w:p>
        </w:tc>
        <w:tc>
          <w:tcPr>
            <w:tcW w:w="1322" w:type="dxa"/>
            <w:tcBorders>
              <w:top w:val="nil"/>
              <w:left w:val="nil"/>
              <w:bottom w:val="single" w:sz="4" w:space="0" w:color="A6A6A6"/>
              <w:right w:val="single" w:sz="4" w:space="0" w:color="A6A6A6"/>
            </w:tcBorders>
            <w:shd w:val="clear" w:color="auto" w:fill="auto"/>
            <w:noWrap/>
            <w:vAlign w:val="bottom"/>
            <w:hideMark/>
          </w:tcPr>
          <w:p w14:paraId="72DF660A"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0.5 </w:t>
            </w:r>
          </w:p>
        </w:tc>
        <w:tc>
          <w:tcPr>
            <w:tcW w:w="1376" w:type="dxa"/>
            <w:tcBorders>
              <w:top w:val="nil"/>
              <w:left w:val="nil"/>
              <w:bottom w:val="single" w:sz="4" w:space="0" w:color="A6A6A6"/>
              <w:right w:val="single" w:sz="4" w:space="0" w:color="A6A6A6"/>
            </w:tcBorders>
            <w:shd w:val="clear" w:color="auto" w:fill="auto"/>
            <w:noWrap/>
            <w:vAlign w:val="bottom"/>
            <w:hideMark/>
          </w:tcPr>
          <w:p w14:paraId="7F5A7B19"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0.7 </w:t>
            </w:r>
          </w:p>
        </w:tc>
        <w:tc>
          <w:tcPr>
            <w:tcW w:w="1260" w:type="dxa"/>
            <w:tcBorders>
              <w:top w:val="nil"/>
              <w:left w:val="nil"/>
              <w:bottom w:val="single" w:sz="4" w:space="0" w:color="A6A6A6"/>
              <w:right w:val="single" w:sz="4" w:space="0" w:color="A6A6A6"/>
            </w:tcBorders>
            <w:shd w:val="clear" w:color="auto" w:fill="auto"/>
            <w:noWrap/>
            <w:vAlign w:val="bottom"/>
            <w:hideMark/>
          </w:tcPr>
          <w:p w14:paraId="4D317CD2"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0.2 </w:t>
            </w:r>
          </w:p>
        </w:tc>
        <w:tc>
          <w:tcPr>
            <w:tcW w:w="1260" w:type="dxa"/>
            <w:tcBorders>
              <w:top w:val="nil"/>
              <w:left w:val="nil"/>
              <w:bottom w:val="single" w:sz="4" w:space="0" w:color="A6A6A6"/>
              <w:right w:val="single" w:sz="4" w:space="0" w:color="A6A6A6"/>
            </w:tcBorders>
            <w:shd w:val="clear" w:color="auto" w:fill="auto"/>
            <w:noWrap/>
            <w:vAlign w:val="bottom"/>
            <w:hideMark/>
          </w:tcPr>
          <w:p w14:paraId="7E8E5F2C"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27.8%</w:t>
            </w:r>
          </w:p>
        </w:tc>
      </w:tr>
    </w:tbl>
    <w:p w14:paraId="15FBDF93" w14:textId="77777777" w:rsidR="007605E6" w:rsidRPr="00382A62" w:rsidRDefault="007605E6" w:rsidP="007605E6">
      <w:pPr>
        <w:jc w:val="center"/>
        <w:rPr>
          <w:rFonts w:cs="Arial"/>
          <w:szCs w:val="20"/>
        </w:rPr>
      </w:pPr>
    </w:p>
    <w:p w14:paraId="7ABCCECF" w14:textId="6802C62A" w:rsidR="007605E6" w:rsidRPr="00382A62" w:rsidRDefault="007605E6" w:rsidP="007605E6">
      <w:pPr>
        <w:rPr>
          <w:rFonts w:cs="Arial"/>
          <w:szCs w:val="20"/>
        </w:rPr>
      </w:pPr>
      <w:r w:rsidRPr="00382A62">
        <w:rPr>
          <w:rFonts w:cs="Arial"/>
          <w:szCs w:val="20"/>
        </w:rPr>
        <w:t>El resultado de 0,</w:t>
      </w:r>
      <w:r w:rsidR="001C42F1" w:rsidRPr="00382A62">
        <w:rPr>
          <w:rFonts w:cs="Arial"/>
          <w:szCs w:val="20"/>
        </w:rPr>
        <w:t>7</w:t>
      </w:r>
      <w:r w:rsidRPr="00382A62">
        <w:rPr>
          <w:rFonts w:cs="Arial"/>
          <w:szCs w:val="20"/>
        </w:rPr>
        <w:t xml:space="preserve"> veces indica que la Compañía mantiene la capacidad para solventar las obligaciones a corto plazo. Este indicador presenta una variación respecto al año anterior de 0,</w:t>
      </w:r>
      <w:r w:rsidR="006E7FD6" w:rsidRPr="00382A62">
        <w:rPr>
          <w:rFonts w:cs="Arial"/>
          <w:szCs w:val="20"/>
        </w:rPr>
        <w:t>5</w:t>
      </w:r>
      <w:r w:rsidRPr="00382A62">
        <w:rPr>
          <w:rFonts w:cs="Arial"/>
          <w:szCs w:val="20"/>
        </w:rPr>
        <w:t xml:space="preserve"> a 0,</w:t>
      </w:r>
      <w:r w:rsidR="006E7FD6" w:rsidRPr="00382A62">
        <w:rPr>
          <w:rFonts w:cs="Arial"/>
          <w:szCs w:val="20"/>
        </w:rPr>
        <w:t>7</w:t>
      </w:r>
      <w:r w:rsidRPr="00382A62">
        <w:rPr>
          <w:rFonts w:cs="Arial"/>
          <w:szCs w:val="20"/>
        </w:rPr>
        <w:t>. Importante mencionar que por las características del inventario que mantiene la Compañía, este es sumamente líquido.</w:t>
      </w:r>
    </w:p>
    <w:p w14:paraId="3856D52F" w14:textId="77777777" w:rsidR="007605E6" w:rsidRPr="00382A62" w:rsidRDefault="007605E6" w:rsidP="007605E6">
      <w:pPr>
        <w:pStyle w:val="Ttulo3"/>
        <w:numPr>
          <w:ilvl w:val="1"/>
          <w:numId w:val="10"/>
        </w:numPr>
        <w:rPr>
          <w:rFonts w:cs="Arial"/>
          <w:sz w:val="20"/>
          <w:szCs w:val="20"/>
        </w:rPr>
      </w:pPr>
      <w:bookmarkStart w:id="70" w:name="_Toc131092871"/>
      <w:bookmarkStart w:id="71" w:name="_Toc131501070"/>
      <w:bookmarkStart w:id="72" w:name="_Toc169624629"/>
      <w:r w:rsidRPr="00382A62">
        <w:rPr>
          <w:rFonts w:cs="Arial"/>
          <w:sz w:val="20"/>
          <w:szCs w:val="20"/>
        </w:rPr>
        <w:t>Índices de rentabilidad</w:t>
      </w:r>
      <w:bookmarkEnd w:id="70"/>
      <w:bookmarkEnd w:id="71"/>
      <w:bookmarkEnd w:id="72"/>
    </w:p>
    <w:p w14:paraId="763D3AD2" w14:textId="77777777" w:rsidR="007605E6" w:rsidRPr="00382A62" w:rsidRDefault="007605E6" w:rsidP="007605E6">
      <w:pPr>
        <w:pStyle w:val="Prrafodelista"/>
        <w:numPr>
          <w:ilvl w:val="0"/>
          <w:numId w:val="20"/>
        </w:numPr>
        <w:rPr>
          <w:rFonts w:cs="Arial"/>
          <w:b/>
          <w:bCs/>
          <w:szCs w:val="20"/>
        </w:rPr>
      </w:pPr>
      <w:r w:rsidRPr="00382A62">
        <w:rPr>
          <w:rFonts w:cs="Arial"/>
          <w:b/>
          <w:bCs/>
          <w:szCs w:val="20"/>
        </w:rPr>
        <w:t>Utilidad Neta a Activo Total</w:t>
      </w:r>
    </w:p>
    <w:p w14:paraId="636EFBEE" w14:textId="21C9B72C" w:rsidR="007605E6" w:rsidRPr="00382A62" w:rsidRDefault="007605E6" w:rsidP="007605E6">
      <w:pPr>
        <w:rPr>
          <w:rFonts w:cs="Arial"/>
          <w:szCs w:val="20"/>
        </w:rPr>
      </w:pPr>
      <w:r w:rsidRPr="00382A62">
        <w:rPr>
          <w:rFonts w:cs="Arial"/>
          <w:szCs w:val="20"/>
        </w:rPr>
        <w:t>El cálculo de esta razón corresponde a tomar la utilidad neta después de impuestos y dividirla entre el activo total (promedio de los activos totales al cierre del año y cierre del año pasado). El resultado nos indica el monto de las ganancias que la empresa puede generar por cada colón invertido.</w:t>
      </w:r>
    </w:p>
    <w:p w14:paraId="6DF378E3" w14:textId="2ED2D66C" w:rsidR="007605E6" w:rsidRPr="00382A62" w:rsidRDefault="007605E6" w:rsidP="007605E6">
      <w:pPr>
        <w:pStyle w:val="Descripcin"/>
        <w:rPr>
          <w:rFonts w:cs="Arial"/>
          <w:szCs w:val="20"/>
        </w:rPr>
      </w:pPr>
      <w:bookmarkStart w:id="73" w:name="_Toc169624709"/>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13</w:t>
      </w:r>
      <w:r w:rsidR="00423C23" w:rsidRPr="00382A62">
        <w:rPr>
          <w:rFonts w:cs="Arial"/>
          <w:noProof/>
          <w:szCs w:val="20"/>
        </w:rPr>
        <w:fldChar w:fldCharType="end"/>
      </w:r>
      <w:r w:rsidRPr="00382A62">
        <w:rPr>
          <w:rFonts w:cs="Arial"/>
          <w:szCs w:val="20"/>
        </w:rPr>
        <w:t xml:space="preserve"> - Utilidad Neta a Activo Total</w:t>
      </w:r>
      <w:bookmarkEnd w:id="73"/>
    </w:p>
    <w:tbl>
      <w:tblPr>
        <w:tblW w:w="10140" w:type="dxa"/>
        <w:jc w:val="center"/>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E433E8" w:rsidRPr="00382A62" w14:paraId="16EF7CDE" w14:textId="77777777" w:rsidTr="00E433E8">
        <w:trPr>
          <w:trHeight w:val="280"/>
          <w:jc w:val="center"/>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D2E821C"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Utilidad Neta a Activo Total</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1C421ADB"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F0CFD41"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05C7B36"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E433E8" w:rsidRPr="00382A62" w14:paraId="6CC84644" w14:textId="77777777" w:rsidTr="00E433E8">
        <w:trPr>
          <w:trHeight w:val="280"/>
          <w:jc w:val="center"/>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7C96179A" w14:textId="77777777" w:rsidR="00E433E8" w:rsidRPr="00382A62" w:rsidRDefault="00E433E8" w:rsidP="00E433E8">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25146FAD"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1C0CF5B9"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383B84B0"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5E5E1C8B" w14:textId="77777777" w:rsidR="00E433E8" w:rsidRPr="00382A62" w:rsidRDefault="00E433E8" w:rsidP="00E433E8">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5B79DAB5" w14:textId="77777777" w:rsidR="00E433E8" w:rsidRPr="00382A62" w:rsidRDefault="00E433E8" w:rsidP="00E433E8">
            <w:pPr>
              <w:spacing w:after="0" w:line="240" w:lineRule="auto"/>
              <w:jc w:val="left"/>
              <w:rPr>
                <w:rFonts w:eastAsia="Times New Roman" w:cs="Arial"/>
                <w:b/>
                <w:bCs/>
                <w:color w:val="000000"/>
                <w:szCs w:val="20"/>
                <w:lang w:val="es-419" w:eastAsia="es-419"/>
              </w:rPr>
            </w:pPr>
          </w:p>
        </w:tc>
      </w:tr>
      <w:tr w:rsidR="00E433E8" w:rsidRPr="00382A62" w14:paraId="10AF1135" w14:textId="77777777" w:rsidTr="00E433E8">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5A3C89D9" w14:textId="77777777" w:rsidR="00E433E8" w:rsidRPr="00382A62" w:rsidRDefault="00E433E8" w:rsidP="00E433E8">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 Neta</w:t>
            </w:r>
          </w:p>
        </w:tc>
        <w:tc>
          <w:tcPr>
            <w:tcW w:w="1322" w:type="dxa"/>
            <w:tcBorders>
              <w:top w:val="nil"/>
              <w:left w:val="nil"/>
              <w:bottom w:val="single" w:sz="4" w:space="0" w:color="A6A6A6"/>
              <w:right w:val="single" w:sz="4" w:space="0" w:color="A6A6A6"/>
            </w:tcBorders>
            <w:shd w:val="clear" w:color="auto" w:fill="auto"/>
            <w:noWrap/>
            <w:vAlign w:val="bottom"/>
            <w:hideMark/>
          </w:tcPr>
          <w:p w14:paraId="5F814071"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71,701 </w:t>
            </w:r>
          </w:p>
        </w:tc>
        <w:tc>
          <w:tcPr>
            <w:tcW w:w="1322" w:type="dxa"/>
            <w:tcBorders>
              <w:top w:val="nil"/>
              <w:left w:val="nil"/>
              <w:bottom w:val="single" w:sz="4" w:space="0" w:color="A6A6A6"/>
              <w:right w:val="single" w:sz="4" w:space="0" w:color="A6A6A6"/>
            </w:tcBorders>
            <w:shd w:val="clear" w:color="auto" w:fill="auto"/>
            <w:noWrap/>
            <w:vAlign w:val="bottom"/>
            <w:hideMark/>
          </w:tcPr>
          <w:p w14:paraId="7C921D7E"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91,365 </w:t>
            </w:r>
          </w:p>
        </w:tc>
        <w:tc>
          <w:tcPr>
            <w:tcW w:w="1376" w:type="dxa"/>
            <w:tcBorders>
              <w:top w:val="nil"/>
              <w:left w:val="nil"/>
              <w:bottom w:val="single" w:sz="4" w:space="0" w:color="A6A6A6"/>
              <w:right w:val="single" w:sz="4" w:space="0" w:color="A6A6A6"/>
            </w:tcBorders>
            <w:shd w:val="clear" w:color="auto" w:fill="auto"/>
            <w:noWrap/>
            <w:vAlign w:val="bottom"/>
            <w:hideMark/>
          </w:tcPr>
          <w:p w14:paraId="0C8260F0"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95,266 </w:t>
            </w:r>
          </w:p>
        </w:tc>
        <w:tc>
          <w:tcPr>
            <w:tcW w:w="1260" w:type="dxa"/>
            <w:tcBorders>
              <w:top w:val="nil"/>
              <w:left w:val="nil"/>
              <w:bottom w:val="single" w:sz="4" w:space="0" w:color="A6A6A6"/>
              <w:right w:val="single" w:sz="4" w:space="0" w:color="A6A6A6"/>
            </w:tcBorders>
            <w:shd w:val="clear" w:color="auto" w:fill="auto"/>
            <w:noWrap/>
            <w:vAlign w:val="bottom"/>
            <w:hideMark/>
          </w:tcPr>
          <w:p w14:paraId="00CD9BE7"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3,901 </w:t>
            </w:r>
          </w:p>
        </w:tc>
        <w:tc>
          <w:tcPr>
            <w:tcW w:w="1260" w:type="dxa"/>
            <w:tcBorders>
              <w:top w:val="nil"/>
              <w:left w:val="nil"/>
              <w:bottom w:val="single" w:sz="4" w:space="0" w:color="A6A6A6"/>
              <w:right w:val="single" w:sz="4" w:space="0" w:color="A6A6A6"/>
            </w:tcBorders>
            <w:shd w:val="clear" w:color="auto" w:fill="auto"/>
            <w:noWrap/>
            <w:vAlign w:val="bottom"/>
            <w:hideMark/>
          </w:tcPr>
          <w:p w14:paraId="6AE28FAF"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4.3%</w:t>
            </w:r>
          </w:p>
        </w:tc>
      </w:tr>
      <w:tr w:rsidR="00E433E8" w:rsidRPr="00382A62" w14:paraId="28A806F8" w14:textId="77777777" w:rsidTr="00E433E8">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2733DB2C" w14:textId="77777777" w:rsidR="00E433E8" w:rsidRPr="00382A62" w:rsidRDefault="00E433E8" w:rsidP="00E433E8">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Activo Total</w:t>
            </w:r>
          </w:p>
        </w:tc>
        <w:tc>
          <w:tcPr>
            <w:tcW w:w="1322" w:type="dxa"/>
            <w:tcBorders>
              <w:top w:val="nil"/>
              <w:left w:val="nil"/>
              <w:bottom w:val="single" w:sz="4" w:space="0" w:color="A6A6A6"/>
              <w:right w:val="single" w:sz="4" w:space="0" w:color="A6A6A6"/>
            </w:tcBorders>
            <w:shd w:val="clear" w:color="auto" w:fill="auto"/>
            <w:noWrap/>
            <w:vAlign w:val="bottom"/>
            <w:hideMark/>
          </w:tcPr>
          <w:p w14:paraId="0B6BF450"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925,639 </w:t>
            </w:r>
          </w:p>
        </w:tc>
        <w:tc>
          <w:tcPr>
            <w:tcW w:w="1322" w:type="dxa"/>
            <w:tcBorders>
              <w:top w:val="nil"/>
              <w:left w:val="nil"/>
              <w:bottom w:val="single" w:sz="4" w:space="0" w:color="A6A6A6"/>
              <w:right w:val="single" w:sz="4" w:space="0" w:color="A6A6A6"/>
            </w:tcBorders>
            <w:shd w:val="clear" w:color="auto" w:fill="auto"/>
            <w:noWrap/>
            <w:vAlign w:val="bottom"/>
            <w:hideMark/>
          </w:tcPr>
          <w:p w14:paraId="478865EC"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926,193 </w:t>
            </w:r>
          </w:p>
        </w:tc>
        <w:tc>
          <w:tcPr>
            <w:tcW w:w="1376" w:type="dxa"/>
            <w:tcBorders>
              <w:top w:val="nil"/>
              <w:left w:val="nil"/>
              <w:bottom w:val="single" w:sz="4" w:space="0" w:color="A6A6A6"/>
              <w:right w:val="single" w:sz="4" w:space="0" w:color="A6A6A6"/>
            </w:tcBorders>
            <w:shd w:val="clear" w:color="auto" w:fill="auto"/>
            <w:noWrap/>
            <w:vAlign w:val="bottom"/>
            <w:hideMark/>
          </w:tcPr>
          <w:p w14:paraId="56BAE5CD"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874,447 </w:t>
            </w:r>
          </w:p>
        </w:tc>
        <w:tc>
          <w:tcPr>
            <w:tcW w:w="1260" w:type="dxa"/>
            <w:tcBorders>
              <w:top w:val="nil"/>
              <w:left w:val="nil"/>
              <w:bottom w:val="single" w:sz="4" w:space="0" w:color="A6A6A6"/>
              <w:right w:val="single" w:sz="4" w:space="0" w:color="A6A6A6"/>
            </w:tcBorders>
            <w:shd w:val="clear" w:color="auto" w:fill="auto"/>
            <w:noWrap/>
            <w:vAlign w:val="bottom"/>
            <w:hideMark/>
          </w:tcPr>
          <w:p w14:paraId="5B0EC5DC"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51,746 </w:t>
            </w:r>
          </w:p>
        </w:tc>
        <w:tc>
          <w:tcPr>
            <w:tcW w:w="1260" w:type="dxa"/>
            <w:tcBorders>
              <w:top w:val="nil"/>
              <w:left w:val="nil"/>
              <w:bottom w:val="single" w:sz="4" w:space="0" w:color="A6A6A6"/>
              <w:right w:val="single" w:sz="4" w:space="0" w:color="A6A6A6"/>
            </w:tcBorders>
            <w:shd w:val="clear" w:color="auto" w:fill="auto"/>
            <w:noWrap/>
            <w:vAlign w:val="bottom"/>
            <w:hideMark/>
          </w:tcPr>
          <w:p w14:paraId="60C96156"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-5.6%</w:t>
            </w:r>
          </w:p>
        </w:tc>
      </w:tr>
      <w:tr w:rsidR="00E433E8" w:rsidRPr="00382A62" w14:paraId="5BEC5AE7" w14:textId="77777777" w:rsidTr="00E433E8">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5120330E" w14:textId="77777777" w:rsidR="00E433E8" w:rsidRPr="00382A62" w:rsidRDefault="00E433E8" w:rsidP="00E433E8">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 neta a Activo total</w:t>
            </w:r>
          </w:p>
        </w:tc>
        <w:tc>
          <w:tcPr>
            <w:tcW w:w="1322" w:type="dxa"/>
            <w:tcBorders>
              <w:top w:val="nil"/>
              <w:left w:val="nil"/>
              <w:bottom w:val="single" w:sz="4" w:space="0" w:color="A6A6A6"/>
              <w:right w:val="single" w:sz="4" w:space="0" w:color="A6A6A6"/>
            </w:tcBorders>
            <w:shd w:val="clear" w:color="auto" w:fill="auto"/>
            <w:noWrap/>
            <w:vAlign w:val="bottom"/>
            <w:hideMark/>
          </w:tcPr>
          <w:p w14:paraId="5B538D8E"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7.7%</w:t>
            </w:r>
          </w:p>
        </w:tc>
        <w:tc>
          <w:tcPr>
            <w:tcW w:w="1322" w:type="dxa"/>
            <w:tcBorders>
              <w:top w:val="nil"/>
              <w:left w:val="nil"/>
              <w:bottom w:val="single" w:sz="4" w:space="0" w:color="A6A6A6"/>
              <w:right w:val="single" w:sz="4" w:space="0" w:color="A6A6A6"/>
            </w:tcBorders>
            <w:shd w:val="clear" w:color="auto" w:fill="auto"/>
            <w:noWrap/>
            <w:vAlign w:val="bottom"/>
            <w:hideMark/>
          </w:tcPr>
          <w:p w14:paraId="2F6A68E3"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9.9%</w:t>
            </w:r>
          </w:p>
        </w:tc>
        <w:tc>
          <w:tcPr>
            <w:tcW w:w="1376" w:type="dxa"/>
            <w:tcBorders>
              <w:top w:val="nil"/>
              <w:left w:val="nil"/>
              <w:bottom w:val="single" w:sz="4" w:space="0" w:color="A6A6A6"/>
              <w:right w:val="single" w:sz="4" w:space="0" w:color="A6A6A6"/>
            </w:tcBorders>
            <w:shd w:val="clear" w:color="auto" w:fill="auto"/>
            <w:noWrap/>
            <w:vAlign w:val="bottom"/>
            <w:hideMark/>
          </w:tcPr>
          <w:p w14:paraId="2046A050"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10.9%</w:t>
            </w:r>
          </w:p>
        </w:tc>
        <w:tc>
          <w:tcPr>
            <w:tcW w:w="1260" w:type="dxa"/>
            <w:tcBorders>
              <w:top w:val="nil"/>
              <w:left w:val="nil"/>
              <w:bottom w:val="single" w:sz="4" w:space="0" w:color="A6A6A6"/>
              <w:right w:val="single" w:sz="4" w:space="0" w:color="A6A6A6"/>
            </w:tcBorders>
            <w:shd w:val="clear" w:color="auto" w:fill="auto"/>
            <w:noWrap/>
            <w:vAlign w:val="bottom"/>
            <w:hideMark/>
          </w:tcPr>
          <w:p w14:paraId="5080DA5A"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1.0%</w:t>
            </w:r>
          </w:p>
        </w:tc>
        <w:tc>
          <w:tcPr>
            <w:tcW w:w="1260" w:type="dxa"/>
            <w:tcBorders>
              <w:top w:val="nil"/>
              <w:left w:val="nil"/>
              <w:bottom w:val="single" w:sz="4" w:space="0" w:color="A6A6A6"/>
              <w:right w:val="single" w:sz="4" w:space="0" w:color="A6A6A6"/>
            </w:tcBorders>
            <w:shd w:val="clear" w:color="auto" w:fill="auto"/>
            <w:noWrap/>
            <w:vAlign w:val="bottom"/>
            <w:hideMark/>
          </w:tcPr>
          <w:p w14:paraId="7A459EDC"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10.4%</w:t>
            </w:r>
          </w:p>
        </w:tc>
      </w:tr>
    </w:tbl>
    <w:p w14:paraId="1E779BD6" w14:textId="77777777" w:rsidR="00090BB9" w:rsidRPr="00382A62" w:rsidRDefault="00090BB9" w:rsidP="007605E6">
      <w:pPr>
        <w:rPr>
          <w:rFonts w:cs="Arial"/>
          <w:szCs w:val="20"/>
        </w:rPr>
      </w:pPr>
    </w:p>
    <w:p w14:paraId="6360D673" w14:textId="55E3A17E" w:rsidR="007605E6" w:rsidRPr="00382A62" w:rsidRDefault="007605E6" w:rsidP="007605E6">
      <w:pPr>
        <w:rPr>
          <w:rFonts w:cs="Arial"/>
          <w:szCs w:val="20"/>
        </w:rPr>
      </w:pPr>
      <w:r w:rsidRPr="00382A62">
        <w:rPr>
          <w:rFonts w:cs="Arial"/>
          <w:szCs w:val="20"/>
        </w:rPr>
        <w:lastRenderedPageBreak/>
        <w:t>En el 202</w:t>
      </w:r>
      <w:r w:rsidR="001C42F1" w:rsidRPr="00382A62">
        <w:rPr>
          <w:rFonts w:cs="Arial"/>
          <w:szCs w:val="20"/>
        </w:rPr>
        <w:t>3</w:t>
      </w:r>
      <w:r w:rsidRPr="00382A62">
        <w:rPr>
          <w:rFonts w:cs="Arial"/>
          <w:szCs w:val="20"/>
        </w:rPr>
        <w:t>, esta razón presentó un aumento con respecto al año anterior, mostrando una mejora en la productividad de las inversiones y la capacidad de generar utilidades de los activos totales.</w:t>
      </w:r>
    </w:p>
    <w:p w14:paraId="150FE7C6" w14:textId="77777777" w:rsidR="007605E6" w:rsidRPr="00382A62" w:rsidRDefault="007605E6" w:rsidP="007605E6">
      <w:pPr>
        <w:pStyle w:val="Prrafodelista"/>
        <w:numPr>
          <w:ilvl w:val="0"/>
          <w:numId w:val="20"/>
        </w:numPr>
        <w:rPr>
          <w:rFonts w:cs="Arial"/>
          <w:b/>
          <w:bCs/>
          <w:szCs w:val="20"/>
        </w:rPr>
      </w:pPr>
      <w:r w:rsidRPr="00382A62">
        <w:rPr>
          <w:rFonts w:cs="Arial"/>
          <w:b/>
          <w:bCs/>
          <w:szCs w:val="20"/>
        </w:rPr>
        <w:t>Utilidad Neta a Ventas</w:t>
      </w:r>
    </w:p>
    <w:p w14:paraId="1E3B6349" w14:textId="77777777" w:rsidR="007605E6" w:rsidRPr="00382A62" w:rsidRDefault="007605E6" w:rsidP="007605E6">
      <w:pPr>
        <w:rPr>
          <w:rFonts w:cs="Arial"/>
          <w:szCs w:val="20"/>
        </w:rPr>
      </w:pPr>
      <w:r w:rsidRPr="00382A62">
        <w:rPr>
          <w:rFonts w:cs="Arial"/>
          <w:szCs w:val="20"/>
        </w:rPr>
        <w:t>El cálculo de esta razón corresponde a tomar la utilidad neta y dividirla entre las ventas netas totales. Se define como la capacidad que tiene la Compañía de traducir como ganancia una porción de cada colón vendido.</w:t>
      </w:r>
    </w:p>
    <w:p w14:paraId="675C9E84" w14:textId="2E1257FE" w:rsidR="007605E6" w:rsidRPr="00382A62" w:rsidRDefault="007605E6" w:rsidP="007605E6">
      <w:pPr>
        <w:pStyle w:val="Descripcin"/>
        <w:rPr>
          <w:rFonts w:cs="Arial"/>
          <w:szCs w:val="20"/>
        </w:rPr>
      </w:pPr>
      <w:bookmarkStart w:id="74" w:name="_Toc169624710"/>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14</w:t>
      </w:r>
      <w:r w:rsidR="00423C23" w:rsidRPr="00382A62">
        <w:rPr>
          <w:rFonts w:cs="Arial"/>
          <w:noProof/>
          <w:szCs w:val="20"/>
        </w:rPr>
        <w:fldChar w:fldCharType="end"/>
      </w:r>
      <w:r w:rsidRPr="00382A62">
        <w:rPr>
          <w:rFonts w:cs="Arial"/>
          <w:szCs w:val="20"/>
        </w:rPr>
        <w:t xml:space="preserve"> - Utilidad Neta a Ventas</w:t>
      </w:r>
      <w:bookmarkEnd w:id="74"/>
    </w:p>
    <w:tbl>
      <w:tblPr>
        <w:tblW w:w="10140" w:type="dxa"/>
        <w:jc w:val="center"/>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1D124A" w:rsidRPr="00382A62" w14:paraId="101C4C04" w14:textId="77777777" w:rsidTr="001D124A">
        <w:trPr>
          <w:trHeight w:val="280"/>
          <w:jc w:val="center"/>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998B053"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Utilidad Neta a Ventas</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51B15112"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1A7FEF1E"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90501A1"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1D124A" w:rsidRPr="00382A62" w14:paraId="42F743E8" w14:textId="77777777" w:rsidTr="001D124A">
        <w:trPr>
          <w:trHeight w:val="300"/>
          <w:jc w:val="center"/>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289CF6B8" w14:textId="77777777" w:rsidR="001D124A" w:rsidRPr="00382A62" w:rsidRDefault="001D124A" w:rsidP="001D124A">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28B1AC57"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432D41A0"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3A3B5D8F"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128106E7" w14:textId="77777777" w:rsidR="001D124A" w:rsidRPr="00382A62" w:rsidRDefault="001D124A" w:rsidP="001D124A">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7AF2781F" w14:textId="77777777" w:rsidR="001D124A" w:rsidRPr="00382A62" w:rsidRDefault="001D124A" w:rsidP="001D124A">
            <w:pPr>
              <w:spacing w:after="0" w:line="240" w:lineRule="auto"/>
              <w:jc w:val="left"/>
              <w:rPr>
                <w:rFonts w:eastAsia="Times New Roman" w:cs="Arial"/>
                <w:b/>
                <w:bCs/>
                <w:color w:val="000000"/>
                <w:szCs w:val="20"/>
                <w:lang w:val="es-419" w:eastAsia="es-419"/>
              </w:rPr>
            </w:pPr>
          </w:p>
        </w:tc>
      </w:tr>
      <w:tr w:rsidR="001D124A" w:rsidRPr="00382A62" w14:paraId="2108C8B6" w14:textId="77777777" w:rsidTr="001D124A">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22F504DB" w14:textId="77777777" w:rsidR="001D124A" w:rsidRPr="00382A62" w:rsidRDefault="001D124A" w:rsidP="001D124A">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 Neta</w:t>
            </w:r>
          </w:p>
        </w:tc>
        <w:tc>
          <w:tcPr>
            <w:tcW w:w="1322" w:type="dxa"/>
            <w:tcBorders>
              <w:top w:val="nil"/>
              <w:left w:val="nil"/>
              <w:bottom w:val="single" w:sz="4" w:space="0" w:color="A6A6A6"/>
              <w:right w:val="single" w:sz="4" w:space="0" w:color="A6A6A6"/>
            </w:tcBorders>
            <w:shd w:val="clear" w:color="auto" w:fill="auto"/>
            <w:noWrap/>
            <w:vAlign w:val="bottom"/>
            <w:hideMark/>
          </w:tcPr>
          <w:p w14:paraId="2CC81CC7" w14:textId="77777777" w:rsidR="001D124A" w:rsidRPr="00382A62" w:rsidRDefault="001D124A"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71,701 </w:t>
            </w:r>
          </w:p>
        </w:tc>
        <w:tc>
          <w:tcPr>
            <w:tcW w:w="1322" w:type="dxa"/>
            <w:tcBorders>
              <w:top w:val="nil"/>
              <w:left w:val="nil"/>
              <w:bottom w:val="single" w:sz="4" w:space="0" w:color="A6A6A6"/>
              <w:right w:val="single" w:sz="4" w:space="0" w:color="A6A6A6"/>
            </w:tcBorders>
            <w:shd w:val="clear" w:color="auto" w:fill="auto"/>
            <w:noWrap/>
            <w:vAlign w:val="bottom"/>
            <w:hideMark/>
          </w:tcPr>
          <w:p w14:paraId="1404C242" w14:textId="77777777" w:rsidR="001D124A" w:rsidRPr="00382A62" w:rsidRDefault="001D124A"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91,365 </w:t>
            </w:r>
          </w:p>
        </w:tc>
        <w:tc>
          <w:tcPr>
            <w:tcW w:w="1376" w:type="dxa"/>
            <w:tcBorders>
              <w:top w:val="nil"/>
              <w:left w:val="nil"/>
              <w:bottom w:val="single" w:sz="4" w:space="0" w:color="A6A6A6"/>
              <w:right w:val="single" w:sz="4" w:space="0" w:color="A6A6A6"/>
            </w:tcBorders>
            <w:shd w:val="clear" w:color="auto" w:fill="auto"/>
            <w:noWrap/>
            <w:vAlign w:val="bottom"/>
            <w:hideMark/>
          </w:tcPr>
          <w:p w14:paraId="159D07CA" w14:textId="77777777" w:rsidR="001D124A" w:rsidRPr="00382A62" w:rsidRDefault="001D124A"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95,266 </w:t>
            </w:r>
          </w:p>
        </w:tc>
        <w:tc>
          <w:tcPr>
            <w:tcW w:w="1260" w:type="dxa"/>
            <w:tcBorders>
              <w:top w:val="nil"/>
              <w:left w:val="nil"/>
              <w:bottom w:val="single" w:sz="4" w:space="0" w:color="A6A6A6"/>
              <w:right w:val="single" w:sz="4" w:space="0" w:color="A6A6A6"/>
            </w:tcBorders>
            <w:shd w:val="clear" w:color="auto" w:fill="auto"/>
            <w:noWrap/>
            <w:vAlign w:val="bottom"/>
            <w:hideMark/>
          </w:tcPr>
          <w:p w14:paraId="4440917F" w14:textId="77777777" w:rsidR="001D124A" w:rsidRPr="00382A62" w:rsidRDefault="001D124A"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3,901 </w:t>
            </w:r>
          </w:p>
        </w:tc>
        <w:tc>
          <w:tcPr>
            <w:tcW w:w="1260" w:type="dxa"/>
            <w:tcBorders>
              <w:top w:val="nil"/>
              <w:left w:val="nil"/>
              <w:bottom w:val="single" w:sz="4" w:space="0" w:color="A6A6A6"/>
              <w:right w:val="single" w:sz="4" w:space="0" w:color="A6A6A6"/>
            </w:tcBorders>
            <w:shd w:val="clear" w:color="auto" w:fill="auto"/>
            <w:noWrap/>
            <w:vAlign w:val="bottom"/>
            <w:hideMark/>
          </w:tcPr>
          <w:p w14:paraId="7C1A890E" w14:textId="77777777" w:rsidR="001D124A" w:rsidRPr="00382A62" w:rsidRDefault="001D124A"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4.3%</w:t>
            </w:r>
          </w:p>
        </w:tc>
      </w:tr>
      <w:tr w:rsidR="001D124A" w:rsidRPr="00382A62" w14:paraId="54B575C7" w14:textId="77777777" w:rsidTr="001D124A">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6908B3E0" w14:textId="77777777" w:rsidR="001D124A" w:rsidRPr="00382A62" w:rsidRDefault="001D124A" w:rsidP="001D124A">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Ventas</w:t>
            </w:r>
          </w:p>
        </w:tc>
        <w:tc>
          <w:tcPr>
            <w:tcW w:w="1322" w:type="dxa"/>
            <w:tcBorders>
              <w:top w:val="nil"/>
              <w:left w:val="nil"/>
              <w:bottom w:val="single" w:sz="4" w:space="0" w:color="A6A6A6"/>
              <w:right w:val="single" w:sz="4" w:space="0" w:color="A6A6A6"/>
            </w:tcBorders>
            <w:shd w:val="clear" w:color="auto" w:fill="auto"/>
            <w:noWrap/>
            <w:vAlign w:val="bottom"/>
            <w:hideMark/>
          </w:tcPr>
          <w:p w14:paraId="0DE97657" w14:textId="77777777" w:rsidR="001D124A" w:rsidRPr="00382A62" w:rsidRDefault="001D124A"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751,585 </w:t>
            </w:r>
          </w:p>
        </w:tc>
        <w:tc>
          <w:tcPr>
            <w:tcW w:w="1322" w:type="dxa"/>
            <w:tcBorders>
              <w:top w:val="nil"/>
              <w:left w:val="nil"/>
              <w:bottom w:val="single" w:sz="4" w:space="0" w:color="A6A6A6"/>
              <w:right w:val="single" w:sz="4" w:space="0" w:color="A6A6A6"/>
            </w:tcBorders>
            <w:shd w:val="clear" w:color="auto" w:fill="auto"/>
            <w:noWrap/>
            <w:vAlign w:val="bottom"/>
            <w:hideMark/>
          </w:tcPr>
          <w:p w14:paraId="506D928A" w14:textId="77777777" w:rsidR="001D124A" w:rsidRPr="00382A62" w:rsidRDefault="001D124A"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846,576 </w:t>
            </w:r>
          </w:p>
        </w:tc>
        <w:tc>
          <w:tcPr>
            <w:tcW w:w="1376" w:type="dxa"/>
            <w:tcBorders>
              <w:top w:val="nil"/>
              <w:left w:val="nil"/>
              <w:bottom w:val="single" w:sz="4" w:space="0" w:color="A6A6A6"/>
              <w:right w:val="single" w:sz="4" w:space="0" w:color="A6A6A6"/>
            </w:tcBorders>
            <w:shd w:val="clear" w:color="auto" w:fill="auto"/>
            <w:noWrap/>
            <w:vAlign w:val="bottom"/>
            <w:hideMark/>
          </w:tcPr>
          <w:p w14:paraId="169B950C" w14:textId="77777777" w:rsidR="001D124A" w:rsidRPr="00382A62" w:rsidRDefault="001D124A"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827,387 </w:t>
            </w:r>
          </w:p>
        </w:tc>
        <w:tc>
          <w:tcPr>
            <w:tcW w:w="1260" w:type="dxa"/>
            <w:tcBorders>
              <w:top w:val="nil"/>
              <w:left w:val="nil"/>
              <w:bottom w:val="single" w:sz="4" w:space="0" w:color="A6A6A6"/>
              <w:right w:val="single" w:sz="4" w:space="0" w:color="A6A6A6"/>
            </w:tcBorders>
            <w:shd w:val="clear" w:color="auto" w:fill="auto"/>
            <w:noWrap/>
            <w:vAlign w:val="bottom"/>
            <w:hideMark/>
          </w:tcPr>
          <w:p w14:paraId="69B1A9D3" w14:textId="77777777" w:rsidR="001D124A" w:rsidRPr="00382A62" w:rsidRDefault="001D124A"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19,189 </w:t>
            </w:r>
          </w:p>
        </w:tc>
        <w:tc>
          <w:tcPr>
            <w:tcW w:w="1260" w:type="dxa"/>
            <w:tcBorders>
              <w:top w:val="nil"/>
              <w:left w:val="nil"/>
              <w:bottom w:val="single" w:sz="4" w:space="0" w:color="A6A6A6"/>
              <w:right w:val="single" w:sz="4" w:space="0" w:color="A6A6A6"/>
            </w:tcBorders>
            <w:shd w:val="clear" w:color="auto" w:fill="auto"/>
            <w:noWrap/>
            <w:vAlign w:val="bottom"/>
            <w:hideMark/>
          </w:tcPr>
          <w:p w14:paraId="5FCCF3E5" w14:textId="77777777" w:rsidR="001D124A" w:rsidRPr="00382A62" w:rsidRDefault="001D124A"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-2.3%</w:t>
            </w:r>
          </w:p>
        </w:tc>
      </w:tr>
      <w:tr w:rsidR="001D124A" w:rsidRPr="00382A62" w14:paraId="4012C638" w14:textId="77777777" w:rsidTr="001D124A">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5074281C" w14:textId="77777777" w:rsidR="001D124A" w:rsidRPr="00382A62" w:rsidRDefault="001D124A" w:rsidP="001D124A">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 Neta a Ventas</w:t>
            </w:r>
          </w:p>
        </w:tc>
        <w:tc>
          <w:tcPr>
            <w:tcW w:w="1322" w:type="dxa"/>
            <w:tcBorders>
              <w:top w:val="nil"/>
              <w:left w:val="nil"/>
              <w:bottom w:val="single" w:sz="4" w:space="0" w:color="A6A6A6"/>
              <w:right w:val="single" w:sz="4" w:space="0" w:color="A6A6A6"/>
            </w:tcBorders>
            <w:shd w:val="clear" w:color="auto" w:fill="auto"/>
            <w:noWrap/>
            <w:vAlign w:val="bottom"/>
            <w:hideMark/>
          </w:tcPr>
          <w:p w14:paraId="1333ABB1" w14:textId="77777777" w:rsidR="001D124A" w:rsidRPr="00382A62" w:rsidRDefault="001D124A" w:rsidP="001D124A">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9.5%</w:t>
            </w:r>
          </w:p>
        </w:tc>
        <w:tc>
          <w:tcPr>
            <w:tcW w:w="1322" w:type="dxa"/>
            <w:tcBorders>
              <w:top w:val="nil"/>
              <w:left w:val="nil"/>
              <w:bottom w:val="single" w:sz="4" w:space="0" w:color="A6A6A6"/>
              <w:right w:val="single" w:sz="4" w:space="0" w:color="A6A6A6"/>
            </w:tcBorders>
            <w:shd w:val="clear" w:color="auto" w:fill="auto"/>
            <w:noWrap/>
            <w:vAlign w:val="bottom"/>
            <w:hideMark/>
          </w:tcPr>
          <w:p w14:paraId="404E5FE5" w14:textId="77777777" w:rsidR="001D124A" w:rsidRPr="00382A62" w:rsidRDefault="001D124A" w:rsidP="001D124A">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10.8%</w:t>
            </w:r>
          </w:p>
        </w:tc>
        <w:tc>
          <w:tcPr>
            <w:tcW w:w="1376" w:type="dxa"/>
            <w:tcBorders>
              <w:top w:val="nil"/>
              <w:left w:val="nil"/>
              <w:bottom w:val="single" w:sz="4" w:space="0" w:color="A6A6A6"/>
              <w:right w:val="single" w:sz="4" w:space="0" w:color="A6A6A6"/>
            </w:tcBorders>
            <w:shd w:val="clear" w:color="auto" w:fill="auto"/>
            <w:noWrap/>
            <w:vAlign w:val="bottom"/>
            <w:hideMark/>
          </w:tcPr>
          <w:p w14:paraId="19C1AFAE" w14:textId="77777777" w:rsidR="001D124A" w:rsidRPr="00382A62" w:rsidRDefault="001D124A" w:rsidP="001D124A">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11.5%</w:t>
            </w:r>
          </w:p>
        </w:tc>
        <w:tc>
          <w:tcPr>
            <w:tcW w:w="1260" w:type="dxa"/>
            <w:tcBorders>
              <w:top w:val="nil"/>
              <w:left w:val="nil"/>
              <w:bottom w:val="single" w:sz="4" w:space="0" w:color="A6A6A6"/>
              <w:right w:val="single" w:sz="4" w:space="0" w:color="A6A6A6"/>
            </w:tcBorders>
            <w:shd w:val="clear" w:color="auto" w:fill="auto"/>
            <w:noWrap/>
            <w:vAlign w:val="bottom"/>
            <w:hideMark/>
          </w:tcPr>
          <w:p w14:paraId="367D77BC" w14:textId="77777777" w:rsidR="001D124A" w:rsidRPr="00382A62" w:rsidRDefault="001D124A" w:rsidP="001D124A">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0.7%</w:t>
            </w:r>
          </w:p>
        </w:tc>
        <w:tc>
          <w:tcPr>
            <w:tcW w:w="1260" w:type="dxa"/>
            <w:tcBorders>
              <w:top w:val="nil"/>
              <w:left w:val="nil"/>
              <w:bottom w:val="single" w:sz="4" w:space="0" w:color="A6A6A6"/>
              <w:right w:val="single" w:sz="4" w:space="0" w:color="A6A6A6"/>
            </w:tcBorders>
            <w:shd w:val="clear" w:color="auto" w:fill="auto"/>
            <w:noWrap/>
            <w:vAlign w:val="bottom"/>
            <w:hideMark/>
          </w:tcPr>
          <w:p w14:paraId="066732C1" w14:textId="77777777" w:rsidR="001D124A" w:rsidRPr="00382A62" w:rsidRDefault="001D124A" w:rsidP="001D124A">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6.7%</w:t>
            </w:r>
          </w:p>
        </w:tc>
      </w:tr>
    </w:tbl>
    <w:p w14:paraId="056323DA" w14:textId="77777777" w:rsidR="007605E6" w:rsidRPr="00382A62" w:rsidRDefault="007605E6" w:rsidP="007605E6">
      <w:pPr>
        <w:jc w:val="center"/>
        <w:rPr>
          <w:rFonts w:cs="Arial"/>
          <w:szCs w:val="20"/>
        </w:rPr>
      </w:pPr>
    </w:p>
    <w:p w14:paraId="4763028E" w14:textId="5C928B62" w:rsidR="007605E6" w:rsidRPr="00382A62" w:rsidRDefault="007605E6" w:rsidP="007605E6">
      <w:pPr>
        <w:rPr>
          <w:rFonts w:cs="Arial"/>
          <w:szCs w:val="20"/>
        </w:rPr>
      </w:pPr>
      <w:r w:rsidRPr="00382A62">
        <w:rPr>
          <w:rFonts w:cs="Arial"/>
          <w:szCs w:val="20"/>
        </w:rPr>
        <w:t>El resultado de este indicador en el año 202</w:t>
      </w:r>
      <w:r w:rsidR="00CA77C6" w:rsidRPr="00382A62">
        <w:rPr>
          <w:rFonts w:cs="Arial"/>
          <w:szCs w:val="20"/>
        </w:rPr>
        <w:t>3</w:t>
      </w:r>
      <w:r w:rsidRPr="00382A62">
        <w:rPr>
          <w:rFonts w:cs="Arial"/>
          <w:szCs w:val="20"/>
        </w:rPr>
        <w:t xml:space="preserve"> tuvo un aumento de </w:t>
      </w:r>
      <w:r w:rsidR="00FF13F4" w:rsidRPr="00382A62">
        <w:rPr>
          <w:rFonts w:cs="Arial"/>
          <w:szCs w:val="20"/>
        </w:rPr>
        <w:t xml:space="preserve">70 </w:t>
      </w:r>
      <w:r w:rsidRPr="00382A62">
        <w:rPr>
          <w:rFonts w:cs="Arial"/>
          <w:szCs w:val="20"/>
        </w:rPr>
        <w:t xml:space="preserve">puntos base, originado por un crecimiento en la utilidad neta de </w:t>
      </w:r>
      <w:r w:rsidR="00FF13F4" w:rsidRPr="00382A62">
        <w:rPr>
          <w:rFonts w:cs="Arial"/>
          <w:szCs w:val="20"/>
        </w:rPr>
        <w:t>4</w:t>
      </w:r>
      <w:r w:rsidR="004A05B8" w:rsidRPr="00382A62">
        <w:rPr>
          <w:rFonts w:cs="Arial"/>
          <w:szCs w:val="20"/>
        </w:rPr>
        <w:t>,3</w:t>
      </w:r>
      <w:r w:rsidRPr="00382A62">
        <w:rPr>
          <w:rFonts w:cs="Arial"/>
          <w:szCs w:val="20"/>
        </w:rPr>
        <w:t xml:space="preserve">% y en ventas del </w:t>
      </w:r>
      <w:r w:rsidR="004A05B8" w:rsidRPr="00382A62">
        <w:rPr>
          <w:rFonts w:cs="Arial"/>
          <w:szCs w:val="20"/>
        </w:rPr>
        <w:t>-2,3</w:t>
      </w:r>
      <w:r w:rsidRPr="00382A62">
        <w:rPr>
          <w:rFonts w:cs="Arial"/>
          <w:szCs w:val="20"/>
        </w:rPr>
        <w:t>% respecto al año 202</w:t>
      </w:r>
      <w:r w:rsidR="004A05B8" w:rsidRPr="00382A62">
        <w:rPr>
          <w:rFonts w:cs="Arial"/>
          <w:szCs w:val="20"/>
        </w:rPr>
        <w:t>2.</w:t>
      </w:r>
    </w:p>
    <w:p w14:paraId="3C65DE27" w14:textId="77777777" w:rsidR="007605E6" w:rsidRPr="00382A62" w:rsidRDefault="007605E6" w:rsidP="007605E6">
      <w:pPr>
        <w:pStyle w:val="Prrafodelista"/>
        <w:numPr>
          <w:ilvl w:val="0"/>
          <w:numId w:val="20"/>
        </w:numPr>
        <w:rPr>
          <w:rFonts w:cs="Arial"/>
          <w:b/>
          <w:bCs/>
          <w:szCs w:val="20"/>
        </w:rPr>
      </w:pPr>
      <w:r w:rsidRPr="00382A62">
        <w:rPr>
          <w:rFonts w:cs="Arial"/>
          <w:b/>
          <w:bCs/>
          <w:szCs w:val="20"/>
        </w:rPr>
        <w:t>Utilidad Neta a Patrimonio Neto</w:t>
      </w:r>
    </w:p>
    <w:p w14:paraId="7761F636" w14:textId="5CB889DB" w:rsidR="007605E6" w:rsidRPr="00382A62" w:rsidRDefault="007605E6" w:rsidP="007605E6">
      <w:pPr>
        <w:rPr>
          <w:rFonts w:cs="Arial"/>
          <w:szCs w:val="20"/>
        </w:rPr>
      </w:pPr>
      <w:r w:rsidRPr="00382A62">
        <w:rPr>
          <w:rFonts w:cs="Arial"/>
          <w:szCs w:val="20"/>
        </w:rPr>
        <w:t>El cálculo de esta razón corresponde a tomar la utilidad neta y dividirla entre el patrimonio promedio de los últimos 2 años. Se interpreta como el índice de retorno sobre el patrimonio de los accionistas.</w:t>
      </w:r>
    </w:p>
    <w:p w14:paraId="358AEAB9" w14:textId="552A87DB" w:rsidR="007605E6" w:rsidRPr="00382A62" w:rsidRDefault="007605E6" w:rsidP="007605E6">
      <w:pPr>
        <w:pStyle w:val="Descripcin"/>
        <w:rPr>
          <w:rFonts w:cs="Arial"/>
          <w:szCs w:val="20"/>
        </w:rPr>
      </w:pPr>
      <w:bookmarkStart w:id="75" w:name="_Toc169624711"/>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15</w:t>
      </w:r>
      <w:r w:rsidR="00423C23" w:rsidRPr="00382A62">
        <w:rPr>
          <w:rFonts w:cs="Arial"/>
          <w:noProof/>
          <w:szCs w:val="20"/>
        </w:rPr>
        <w:fldChar w:fldCharType="end"/>
      </w:r>
      <w:r w:rsidRPr="00382A62">
        <w:rPr>
          <w:rFonts w:cs="Arial"/>
          <w:szCs w:val="20"/>
        </w:rPr>
        <w:t xml:space="preserve"> - Utilidad Neta a Patrimonio Neto</w:t>
      </w:r>
      <w:bookmarkEnd w:id="75"/>
    </w:p>
    <w:tbl>
      <w:tblPr>
        <w:tblW w:w="10140" w:type="dxa"/>
        <w:jc w:val="center"/>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1D124A" w:rsidRPr="00382A62" w14:paraId="29642D32" w14:textId="77777777" w:rsidTr="001D124A">
        <w:trPr>
          <w:trHeight w:val="280"/>
          <w:jc w:val="center"/>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F7F0277"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Utilidad Neta a Patrimonio Neto</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168E4D0D"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C2E9994"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2C6A2E6"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1D124A" w:rsidRPr="00382A62" w14:paraId="095A5C0B" w14:textId="77777777" w:rsidTr="001D124A">
        <w:trPr>
          <w:trHeight w:val="280"/>
          <w:jc w:val="center"/>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03269043" w14:textId="77777777" w:rsidR="001D124A" w:rsidRPr="00382A62" w:rsidRDefault="001D124A" w:rsidP="001D124A">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79791D8C"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366F8171"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6EC5A716"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2FA7EB6F" w14:textId="77777777" w:rsidR="001D124A" w:rsidRPr="00382A62" w:rsidRDefault="001D124A" w:rsidP="001D124A">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57FFBF4A" w14:textId="77777777" w:rsidR="001D124A" w:rsidRPr="00382A62" w:rsidRDefault="001D124A" w:rsidP="001D124A">
            <w:pPr>
              <w:spacing w:after="0" w:line="240" w:lineRule="auto"/>
              <w:jc w:val="left"/>
              <w:rPr>
                <w:rFonts w:eastAsia="Times New Roman" w:cs="Arial"/>
                <w:b/>
                <w:bCs/>
                <w:color w:val="000000"/>
                <w:szCs w:val="20"/>
                <w:lang w:val="es-419" w:eastAsia="es-419"/>
              </w:rPr>
            </w:pPr>
          </w:p>
        </w:tc>
      </w:tr>
      <w:tr w:rsidR="001D124A" w:rsidRPr="00382A62" w14:paraId="077B1D0D" w14:textId="77777777" w:rsidTr="001D124A">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6A89C385" w14:textId="77777777" w:rsidR="001D124A" w:rsidRPr="00382A62" w:rsidRDefault="001D124A" w:rsidP="001D124A">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 Neta</w:t>
            </w:r>
          </w:p>
        </w:tc>
        <w:tc>
          <w:tcPr>
            <w:tcW w:w="1322" w:type="dxa"/>
            <w:tcBorders>
              <w:top w:val="nil"/>
              <w:left w:val="nil"/>
              <w:bottom w:val="single" w:sz="4" w:space="0" w:color="A6A6A6"/>
              <w:right w:val="single" w:sz="4" w:space="0" w:color="A6A6A6"/>
            </w:tcBorders>
            <w:shd w:val="clear" w:color="auto" w:fill="auto"/>
            <w:noWrap/>
            <w:vAlign w:val="bottom"/>
            <w:hideMark/>
          </w:tcPr>
          <w:p w14:paraId="421EC7FE"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71,701 </w:t>
            </w:r>
          </w:p>
        </w:tc>
        <w:tc>
          <w:tcPr>
            <w:tcW w:w="1322" w:type="dxa"/>
            <w:tcBorders>
              <w:top w:val="nil"/>
              <w:left w:val="nil"/>
              <w:bottom w:val="single" w:sz="4" w:space="0" w:color="A6A6A6"/>
              <w:right w:val="single" w:sz="4" w:space="0" w:color="A6A6A6"/>
            </w:tcBorders>
            <w:shd w:val="clear" w:color="auto" w:fill="auto"/>
            <w:noWrap/>
            <w:vAlign w:val="bottom"/>
            <w:hideMark/>
          </w:tcPr>
          <w:p w14:paraId="31EB2CB9"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91,365 </w:t>
            </w:r>
          </w:p>
        </w:tc>
        <w:tc>
          <w:tcPr>
            <w:tcW w:w="1376" w:type="dxa"/>
            <w:tcBorders>
              <w:top w:val="nil"/>
              <w:left w:val="nil"/>
              <w:bottom w:val="single" w:sz="4" w:space="0" w:color="A6A6A6"/>
              <w:right w:val="single" w:sz="4" w:space="0" w:color="A6A6A6"/>
            </w:tcBorders>
            <w:shd w:val="clear" w:color="auto" w:fill="auto"/>
            <w:noWrap/>
            <w:vAlign w:val="bottom"/>
            <w:hideMark/>
          </w:tcPr>
          <w:p w14:paraId="261F79B2"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95,266 </w:t>
            </w:r>
          </w:p>
        </w:tc>
        <w:tc>
          <w:tcPr>
            <w:tcW w:w="1260" w:type="dxa"/>
            <w:tcBorders>
              <w:top w:val="nil"/>
              <w:left w:val="nil"/>
              <w:bottom w:val="single" w:sz="4" w:space="0" w:color="A6A6A6"/>
              <w:right w:val="single" w:sz="4" w:space="0" w:color="A6A6A6"/>
            </w:tcBorders>
            <w:shd w:val="clear" w:color="auto" w:fill="auto"/>
            <w:noWrap/>
            <w:vAlign w:val="bottom"/>
            <w:hideMark/>
          </w:tcPr>
          <w:p w14:paraId="208C55E4"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3,901 </w:t>
            </w:r>
          </w:p>
        </w:tc>
        <w:tc>
          <w:tcPr>
            <w:tcW w:w="1260" w:type="dxa"/>
            <w:tcBorders>
              <w:top w:val="nil"/>
              <w:left w:val="nil"/>
              <w:bottom w:val="single" w:sz="4" w:space="0" w:color="A6A6A6"/>
              <w:right w:val="single" w:sz="4" w:space="0" w:color="A6A6A6"/>
            </w:tcBorders>
            <w:shd w:val="clear" w:color="auto" w:fill="auto"/>
            <w:noWrap/>
            <w:vAlign w:val="bottom"/>
            <w:hideMark/>
          </w:tcPr>
          <w:p w14:paraId="42C7D675"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4.3%</w:t>
            </w:r>
          </w:p>
        </w:tc>
      </w:tr>
      <w:tr w:rsidR="001D124A" w:rsidRPr="00382A62" w14:paraId="11C44072" w14:textId="77777777" w:rsidTr="001D124A">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19162755" w14:textId="77777777" w:rsidR="001D124A" w:rsidRPr="00382A62" w:rsidRDefault="001D124A" w:rsidP="001D124A">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Patrimonio Neto</w:t>
            </w:r>
          </w:p>
        </w:tc>
        <w:tc>
          <w:tcPr>
            <w:tcW w:w="1322" w:type="dxa"/>
            <w:tcBorders>
              <w:top w:val="nil"/>
              <w:left w:val="nil"/>
              <w:bottom w:val="single" w:sz="4" w:space="0" w:color="A6A6A6"/>
              <w:right w:val="single" w:sz="4" w:space="0" w:color="A6A6A6"/>
            </w:tcBorders>
            <w:shd w:val="clear" w:color="auto" w:fill="auto"/>
            <w:noWrap/>
            <w:vAlign w:val="bottom"/>
            <w:hideMark/>
          </w:tcPr>
          <w:p w14:paraId="01EFB6C8"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379,627 </w:t>
            </w:r>
          </w:p>
        </w:tc>
        <w:tc>
          <w:tcPr>
            <w:tcW w:w="1322" w:type="dxa"/>
            <w:tcBorders>
              <w:top w:val="nil"/>
              <w:left w:val="nil"/>
              <w:bottom w:val="single" w:sz="4" w:space="0" w:color="A6A6A6"/>
              <w:right w:val="single" w:sz="4" w:space="0" w:color="A6A6A6"/>
            </w:tcBorders>
            <w:shd w:val="clear" w:color="auto" w:fill="auto"/>
            <w:noWrap/>
            <w:vAlign w:val="bottom"/>
            <w:hideMark/>
          </w:tcPr>
          <w:p w14:paraId="6443D465"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387,883 </w:t>
            </w:r>
          </w:p>
        </w:tc>
        <w:tc>
          <w:tcPr>
            <w:tcW w:w="1376" w:type="dxa"/>
            <w:tcBorders>
              <w:top w:val="nil"/>
              <w:left w:val="nil"/>
              <w:bottom w:val="single" w:sz="4" w:space="0" w:color="A6A6A6"/>
              <w:right w:val="single" w:sz="4" w:space="0" w:color="A6A6A6"/>
            </w:tcBorders>
            <w:shd w:val="clear" w:color="auto" w:fill="auto"/>
            <w:noWrap/>
            <w:vAlign w:val="bottom"/>
            <w:hideMark/>
          </w:tcPr>
          <w:p w14:paraId="19381A50"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411,659 </w:t>
            </w:r>
          </w:p>
        </w:tc>
        <w:tc>
          <w:tcPr>
            <w:tcW w:w="1260" w:type="dxa"/>
            <w:tcBorders>
              <w:top w:val="nil"/>
              <w:left w:val="nil"/>
              <w:bottom w:val="single" w:sz="4" w:space="0" w:color="A6A6A6"/>
              <w:right w:val="single" w:sz="4" w:space="0" w:color="A6A6A6"/>
            </w:tcBorders>
            <w:shd w:val="clear" w:color="auto" w:fill="auto"/>
            <w:noWrap/>
            <w:vAlign w:val="bottom"/>
            <w:hideMark/>
          </w:tcPr>
          <w:p w14:paraId="18561D99"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23,777 </w:t>
            </w:r>
          </w:p>
        </w:tc>
        <w:tc>
          <w:tcPr>
            <w:tcW w:w="1260" w:type="dxa"/>
            <w:tcBorders>
              <w:top w:val="nil"/>
              <w:left w:val="nil"/>
              <w:bottom w:val="single" w:sz="4" w:space="0" w:color="A6A6A6"/>
              <w:right w:val="single" w:sz="4" w:space="0" w:color="A6A6A6"/>
            </w:tcBorders>
            <w:shd w:val="clear" w:color="auto" w:fill="auto"/>
            <w:noWrap/>
            <w:vAlign w:val="bottom"/>
            <w:hideMark/>
          </w:tcPr>
          <w:p w14:paraId="3ABA2257"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6.1%</w:t>
            </w:r>
          </w:p>
        </w:tc>
      </w:tr>
      <w:tr w:rsidR="001D124A" w:rsidRPr="00382A62" w14:paraId="01B8D4BA" w14:textId="77777777" w:rsidTr="001D124A">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30E90AEA" w14:textId="77777777" w:rsidR="001D124A" w:rsidRPr="00382A62" w:rsidRDefault="001D124A" w:rsidP="001D124A">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 Neta a Patrimonio Neto</w:t>
            </w:r>
          </w:p>
        </w:tc>
        <w:tc>
          <w:tcPr>
            <w:tcW w:w="1322" w:type="dxa"/>
            <w:tcBorders>
              <w:top w:val="nil"/>
              <w:left w:val="nil"/>
              <w:bottom w:val="single" w:sz="4" w:space="0" w:color="A6A6A6"/>
              <w:right w:val="single" w:sz="4" w:space="0" w:color="A6A6A6"/>
            </w:tcBorders>
            <w:shd w:val="clear" w:color="auto" w:fill="auto"/>
            <w:noWrap/>
            <w:vAlign w:val="bottom"/>
            <w:hideMark/>
          </w:tcPr>
          <w:p w14:paraId="77548101"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18.9%</w:t>
            </w:r>
          </w:p>
        </w:tc>
        <w:tc>
          <w:tcPr>
            <w:tcW w:w="1322" w:type="dxa"/>
            <w:tcBorders>
              <w:top w:val="nil"/>
              <w:left w:val="nil"/>
              <w:bottom w:val="single" w:sz="4" w:space="0" w:color="A6A6A6"/>
              <w:right w:val="single" w:sz="4" w:space="0" w:color="A6A6A6"/>
            </w:tcBorders>
            <w:shd w:val="clear" w:color="auto" w:fill="auto"/>
            <w:noWrap/>
            <w:vAlign w:val="bottom"/>
            <w:hideMark/>
          </w:tcPr>
          <w:p w14:paraId="7FE606EF"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23.6%</w:t>
            </w:r>
          </w:p>
        </w:tc>
        <w:tc>
          <w:tcPr>
            <w:tcW w:w="1376" w:type="dxa"/>
            <w:tcBorders>
              <w:top w:val="nil"/>
              <w:left w:val="nil"/>
              <w:bottom w:val="single" w:sz="4" w:space="0" w:color="A6A6A6"/>
              <w:right w:val="single" w:sz="4" w:space="0" w:color="A6A6A6"/>
            </w:tcBorders>
            <w:shd w:val="clear" w:color="auto" w:fill="auto"/>
            <w:noWrap/>
            <w:vAlign w:val="bottom"/>
            <w:hideMark/>
          </w:tcPr>
          <w:p w14:paraId="36A4FD87"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23.1%</w:t>
            </w:r>
          </w:p>
        </w:tc>
        <w:tc>
          <w:tcPr>
            <w:tcW w:w="1260" w:type="dxa"/>
            <w:tcBorders>
              <w:top w:val="nil"/>
              <w:left w:val="nil"/>
              <w:bottom w:val="single" w:sz="4" w:space="0" w:color="A6A6A6"/>
              <w:right w:val="single" w:sz="4" w:space="0" w:color="A6A6A6"/>
            </w:tcBorders>
            <w:shd w:val="clear" w:color="auto" w:fill="auto"/>
            <w:noWrap/>
            <w:vAlign w:val="bottom"/>
            <w:hideMark/>
          </w:tcPr>
          <w:p w14:paraId="729F03E0"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-0.4%</w:t>
            </w:r>
          </w:p>
        </w:tc>
        <w:tc>
          <w:tcPr>
            <w:tcW w:w="1260" w:type="dxa"/>
            <w:tcBorders>
              <w:top w:val="nil"/>
              <w:left w:val="nil"/>
              <w:bottom w:val="single" w:sz="4" w:space="0" w:color="A6A6A6"/>
              <w:right w:val="single" w:sz="4" w:space="0" w:color="A6A6A6"/>
            </w:tcBorders>
            <w:shd w:val="clear" w:color="auto" w:fill="auto"/>
            <w:noWrap/>
            <w:vAlign w:val="bottom"/>
            <w:hideMark/>
          </w:tcPr>
          <w:p w14:paraId="59648E6D"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-1.8%</w:t>
            </w:r>
          </w:p>
        </w:tc>
      </w:tr>
    </w:tbl>
    <w:p w14:paraId="2F192A06" w14:textId="77777777" w:rsidR="007605E6" w:rsidRPr="00382A62" w:rsidRDefault="007605E6" w:rsidP="007605E6">
      <w:pPr>
        <w:jc w:val="center"/>
        <w:rPr>
          <w:rFonts w:cs="Arial"/>
          <w:szCs w:val="20"/>
        </w:rPr>
      </w:pPr>
    </w:p>
    <w:p w14:paraId="736DF461" w14:textId="111889E0" w:rsidR="007605E6" w:rsidRPr="00382A62" w:rsidRDefault="007605E6" w:rsidP="007605E6">
      <w:pPr>
        <w:rPr>
          <w:rFonts w:cs="Arial"/>
          <w:szCs w:val="20"/>
        </w:rPr>
      </w:pPr>
      <w:r w:rsidRPr="00382A62">
        <w:rPr>
          <w:rFonts w:cs="Arial"/>
          <w:szCs w:val="20"/>
        </w:rPr>
        <w:t xml:space="preserve">En el periodo anterior, esta razón tuvo </w:t>
      </w:r>
      <w:r w:rsidR="00FF4529" w:rsidRPr="00382A62">
        <w:rPr>
          <w:rFonts w:cs="Arial"/>
          <w:szCs w:val="20"/>
        </w:rPr>
        <w:t>una disminución absoluta</w:t>
      </w:r>
      <w:r w:rsidRPr="00382A62">
        <w:rPr>
          <w:rFonts w:cs="Arial"/>
          <w:szCs w:val="20"/>
        </w:rPr>
        <w:t xml:space="preserve"> de </w:t>
      </w:r>
      <w:r w:rsidR="000B497E" w:rsidRPr="00382A62">
        <w:rPr>
          <w:rFonts w:cs="Arial"/>
          <w:szCs w:val="20"/>
        </w:rPr>
        <w:t>-0,4</w:t>
      </w:r>
      <w:r w:rsidRPr="00382A62">
        <w:rPr>
          <w:rFonts w:cs="Arial"/>
          <w:szCs w:val="20"/>
        </w:rPr>
        <w:t xml:space="preserve">%, producto principalmente </w:t>
      </w:r>
      <w:r w:rsidR="000B497E" w:rsidRPr="00382A62">
        <w:rPr>
          <w:rFonts w:cs="Arial"/>
          <w:szCs w:val="20"/>
        </w:rPr>
        <w:t xml:space="preserve">al aumento </w:t>
      </w:r>
      <w:r w:rsidR="00FF4529" w:rsidRPr="00382A62">
        <w:rPr>
          <w:rFonts w:cs="Arial"/>
          <w:szCs w:val="20"/>
        </w:rPr>
        <w:t>de la utilidad neta y del patrimonio neto.</w:t>
      </w:r>
    </w:p>
    <w:p w14:paraId="658572DE" w14:textId="77777777" w:rsidR="007605E6" w:rsidRPr="00382A62" w:rsidRDefault="007605E6" w:rsidP="007605E6">
      <w:pPr>
        <w:pStyle w:val="Prrafodelista"/>
        <w:numPr>
          <w:ilvl w:val="0"/>
          <w:numId w:val="20"/>
        </w:numPr>
        <w:rPr>
          <w:rFonts w:cs="Arial"/>
          <w:b/>
          <w:bCs/>
          <w:szCs w:val="20"/>
        </w:rPr>
      </w:pPr>
      <w:r w:rsidRPr="00382A62">
        <w:rPr>
          <w:rFonts w:cs="Arial"/>
          <w:b/>
          <w:bCs/>
          <w:szCs w:val="20"/>
        </w:rPr>
        <w:t>Utilidad por Acción</w:t>
      </w:r>
    </w:p>
    <w:p w14:paraId="4B9493CD" w14:textId="77777777" w:rsidR="007605E6" w:rsidRPr="00382A62" w:rsidRDefault="007605E6" w:rsidP="007605E6">
      <w:pPr>
        <w:rPr>
          <w:rFonts w:cs="Arial"/>
          <w:szCs w:val="20"/>
        </w:rPr>
      </w:pPr>
      <w:r w:rsidRPr="00382A62">
        <w:rPr>
          <w:rFonts w:cs="Arial"/>
          <w:szCs w:val="20"/>
        </w:rPr>
        <w:t>El cálculo de este indicador corresponde a dividir la utilidad neta de la controladora entre el promedio ponderado de acciones comunes al inicio y al final del año. El resultado muestra la utilidad en colones por acción común nominativa.</w:t>
      </w:r>
    </w:p>
    <w:p w14:paraId="6FA6D63D" w14:textId="77777777" w:rsidR="001D124A" w:rsidRPr="00382A62" w:rsidRDefault="001D124A" w:rsidP="007605E6">
      <w:pPr>
        <w:pStyle w:val="Descripcin"/>
        <w:rPr>
          <w:rFonts w:cs="Arial"/>
          <w:szCs w:val="20"/>
        </w:rPr>
      </w:pPr>
    </w:p>
    <w:p w14:paraId="1DF7018E" w14:textId="16A70342" w:rsidR="007605E6" w:rsidRPr="00382A62" w:rsidRDefault="007605E6" w:rsidP="007605E6">
      <w:pPr>
        <w:pStyle w:val="Descripcin"/>
        <w:rPr>
          <w:rFonts w:cs="Arial"/>
          <w:szCs w:val="20"/>
        </w:rPr>
      </w:pPr>
      <w:bookmarkStart w:id="76" w:name="_Toc169624712"/>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16</w:t>
      </w:r>
      <w:r w:rsidR="00423C23" w:rsidRPr="00382A62">
        <w:rPr>
          <w:rFonts w:cs="Arial"/>
          <w:noProof/>
          <w:szCs w:val="20"/>
        </w:rPr>
        <w:fldChar w:fldCharType="end"/>
      </w:r>
      <w:r w:rsidRPr="00382A62">
        <w:rPr>
          <w:rFonts w:cs="Arial"/>
          <w:szCs w:val="20"/>
        </w:rPr>
        <w:t xml:space="preserve"> - Utilidad por Acción</w:t>
      </w:r>
      <w:bookmarkEnd w:id="76"/>
    </w:p>
    <w:tbl>
      <w:tblPr>
        <w:tblW w:w="10600" w:type="dxa"/>
        <w:jc w:val="center"/>
        <w:tblCellMar>
          <w:left w:w="70" w:type="dxa"/>
          <w:right w:w="70" w:type="dxa"/>
        </w:tblCellMar>
        <w:tblLook w:val="04A0" w:firstRow="1" w:lastRow="0" w:firstColumn="1" w:lastColumn="0" w:noHBand="0" w:noVBand="1"/>
      </w:tblPr>
      <w:tblGrid>
        <w:gridCol w:w="3764"/>
        <w:gridCol w:w="1382"/>
        <w:gridCol w:w="1382"/>
        <w:gridCol w:w="1438"/>
        <w:gridCol w:w="1317"/>
        <w:gridCol w:w="1317"/>
      </w:tblGrid>
      <w:tr w:rsidR="00F7075E" w:rsidRPr="00382A62" w14:paraId="6317028A" w14:textId="77777777" w:rsidTr="00F7075E">
        <w:trPr>
          <w:trHeight w:val="231"/>
          <w:jc w:val="center"/>
        </w:trPr>
        <w:tc>
          <w:tcPr>
            <w:tcW w:w="376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69F5E62" w14:textId="77777777" w:rsidR="009D34F7" w:rsidRPr="00382A62" w:rsidRDefault="009D34F7" w:rsidP="009D34F7">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Utilidad por acción</w:t>
            </w:r>
          </w:p>
        </w:tc>
        <w:tc>
          <w:tcPr>
            <w:tcW w:w="4202"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4AF49285" w14:textId="77777777" w:rsidR="009D34F7" w:rsidRPr="00382A62" w:rsidRDefault="009D34F7" w:rsidP="009D34F7">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317"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3A5C5A5" w14:textId="77777777" w:rsidR="009D34F7" w:rsidRPr="00382A62" w:rsidRDefault="009D34F7" w:rsidP="009D34F7">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317"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99C0FCD" w14:textId="77777777" w:rsidR="009D34F7" w:rsidRPr="00382A62" w:rsidRDefault="009D34F7" w:rsidP="009D34F7">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F7075E" w:rsidRPr="00382A62" w14:paraId="34334ED1" w14:textId="77777777" w:rsidTr="00F7075E">
        <w:trPr>
          <w:trHeight w:val="231"/>
          <w:jc w:val="center"/>
        </w:trPr>
        <w:tc>
          <w:tcPr>
            <w:tcW w:w="3764" w:type="dxa"/>
            <w:vMerge/>
            <w:tcBorders>
              <w:top w:val="single" w:sz="4" w:space="0" w:color="A6A6A6"/>
              <w:left w:val="single" w:sz="4" w:space="0" w:color="A6A6A6"/>
              <w:bottom w:val="single" w:sz="4" w:space="0" w:color="A6A6A6"/>
              <w:right w:val="single" w:sz="4" w:space="0" w:color="A6A6A6"/>
            </w:tcBorders>
            <w:vAlign w:val="center"/>
            <w:hideMark/>
          </w:tcPr>
          <w:p w14:paraId="04C94486" w14:textId="77777777" w:rsidR="009D34F7" w:rsidRPr="00382A62" w:rsidRDefault="009D34F7" w:rsidP="009D34F7">
            <w:pPr>
              <w:spacing w:after="0" w:line="240" w:lineRule="auto"/>
              <w:jc w:val="left"/>
              <w:rPr>
                <w:rFonts w:eastAsia="Times New Roman" w:cs="Arial"/>
                <w:b/>
                <w:bCs/>
                <w:color w:val="000000"/>
                <w:szCs w:val="20"/>
                <w:lang w:val="es-419" w:eastAsia="es-419"/>
              </w:rPr>
            </w:pPr>
          </w:p>
        </w:tc>
        <w:tc>
          <w:tcPr>
            <w:tcW w:w="1382" w:type="dxa"/>
            <w:tcBorders>
              <w:top w:val="nil"/>
              <w:left w:val="nil"/>
              <w:bottom w:val="single" w:sz="4" w:space="0" w:color="A6A6A6"/>
              <w:right w:val="single" w:sz="4" w:space="0" w:color="A6A6A6"/>
            </w:tcBorders>
            <w:shd w:val="clear" w:color="000000" w:fill="F2F2F2"/>
            <w:noWrap/>
            <w:vAlign w:val="center"/>
            <w:hideMark/>
          </w:tcPr>
          <w:p w14:paraId="38567ABC" w14:textId="77777777" w:rsidR="009D34F7" w:rsidRPr="00382A62" w:rsidRDefault="009D34F7" w:rsidP="009D34F7">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82" w:type="dxa"/>
            <w:tcBorders>
              <w:top w:val="nil"/>
              <w:left w:val="nil"/>
              <w:bottom w:val="single" w:sz="4" w:space="0" w:color="A6A6A6"/>
              <w:right w:val="single" w:sz="4" w:space="0" w:color="A6A6A6"/>
            </w:tcBorders>
            <w:shd w:val="clear" w:color="000000" w:fill="F2F2F2"/>
            <w:noWrap/>
            <w:vAlign w:val="center"/>
            <w:hideMark/>
          </w:tcPr>
          <w:p w14:paraId="68AF3EA8" w14:textId="77777777" w:rsidR="009D34F7" w:rsidRPr="00382A62" w:rsidRDefault="009D34F7" w:rsidP="009D34F7">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438" w:type="dxa"/>
            <w:tcBorders>
              <w:top w:val="nil"/>
              <w:left w:val="nil"/>
              <w:bottom w:val="single" w:sz="4" w:space="0" w:color="A6A6A6"/>
              <w:right w:val="single" w:sz="4" w:space="0" w:color="A6A6A6"/>
            </w:tcBorders>
            <w:shd w:val="clear" w:color="000000" w:fill="F2F2F2"/>
            <w:noWrap/>
            <w:vAlign w:val="center"/>
            <w:hideMark/>
          </w:tcPr>
          <w:p w14:paraId="2603B45C" w14:textId="77777777" w:rsidR="009D34F7" w:rsidRPr="00382A62" w:rsidRDefault="009D34F7" w:rsidP="009D34F7">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317" w:type="dxa"/>
            <w:vMerge/>
            <w:tcBorders>
              <w:top w:val="single" w:sz="4" w:space="0" w:color="A6A6A6"/>
              <w:left w:val="single" w:sz="4" w:space="0" w:color="A6A6A6"/>
              <w:bottom w:val="single" w:sz="4" w:space="0" w:color="A6A6A6"/>
              <w:right w:val="single" w:sz="4" w:space="0" w:color="A6A6A6"/>
            </w:tcBorders>
            <w:vAlign w:val="center"/>
            <w:hideMark/>
          </w:tcPr>
          <w:p w14:paraId="772AF487" w14:textId="77777777" w:rsidR="009D34F7" w:rsidRPr="00382A62" w:rsidRDefault="009D34F7" w:rsidP="009D34F7">
            <w:pPr>
              <w:spacing w:after="0" w:line="240" w:lineRule="auto"/>
              <w:jc w:val="left"/>
              <w:rPr>
                <w:rFonts w:eastAsia="Times New Roman" w:cs="Arial"/>
                <w:b/>
                <w:bCs/>
                <w:color w:val="000000"/>
                <w:szCs w:val="20"/>
                <w:lang w:val="es-419" w:eastAsia="es-419"/>
              </w:rPr>
            </w:pPr>
          </w:p>
        </w:tc>
        <w:tc>
          <w:tcPr>
            <w:tcW w:w="1317" w:type="dxa"/>
            <w:vMerge/>
            <w:tcBorders>
              <w:top w:val="single" w:sz="4" w:space="0" w:color="A6A6A6"/>
              <w:left w:val="single" w:sz="4" w:space="0" w:color="A6A6A6"/>
              <w:bottom w:val="single" w:sz="4" w:space="0" w:color="A6A6A6"/>
              <w:right w:val="single" w:sz="4" w:space="0" w:color="A6A6A6"/>
            </w:tcBorders>
            <w:vAlign w:val="center"/>
            <w:hideMark/>
          </w:tcPr>
          <w:p w14:paraId="45F3C758" w14:textId="77777777" w:rsidR="009D34F7" w:rsidRPr="00382A62" w:rsidRDefault="009D34F7" w:rsidP="009D34F7">
            <w:pPr>
              <w:spacing w:after="0" w:line="240" w:lineRule="auto"/>
              <w:jc w:val="left"/>
              <w:rPr>
                <w:rFonts w:eastAsia="Times New Roman" w:cs="Arial"/>
                <w:b/>
                <w:bCs/>
                <w:color w:val="000000"/>
                <w:szCs w:val="20"/>
                <w:lang w:val="es-419" w:eastAsia="es-419"/>
              </w:rPr>
            </w:pPr>
          </w:p>
        </w:tc>
      </w:tr>
      <w:tr w:rsidR="00F7075E" w:rsidRPr="00382A62" w14:paraId="12EBF99E" w14:textId="77777777" w:rsidTr="00F7075E">
        <w:trPr>
          <w:trHeight w:val="231"/>
          <w:jc w:val="center"/>
        </w:trPr>
        <w:tc>
          <w:tcPr>
            <w:tcW w:w="3764" w:type="dxa"/>
            <w:tcBorders>
              <w:top w:val="nil"/>
              <w:left w:val="single" w:sz="4" w:space="0" w:color="A6A6A6"/>
              <w:bottom w:val="single" w:sz="4" w:space="0" w:color="A6A6A6"/>
              <w:right w:val="single" w:sz="4" w:space="0" w:color="A6A6A6"/>
            </w:tcBorders>
            <w:shd w:val="clear" w:color="auto" w:fill="auto"/>
            <w:noWrap/>
            <w:vAlign w:val="center"/>
            <w:hideMark/>
          </w:tcPr>
          <w:p w14:paraId="2F636538"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 Neta de la controladora</w:t>
            </w:r>
          </w:p>
        </w:tc>
        <w:tc>
          <w:tcPr>
            <w:tcW w:w="1382" w:type="dxa"/>
            <w:tcBorders>
              <w:top w:val="nil"/>
              <w:left w:val="nil"/>
              <w:bottom w:val="single" w:sz="4" w:space="0" w:color="A6A6A6"/>
              <w:right w:val="single" w:sz="4" w:space="0" w:color="A6A6A6"/>
            </w:tcBorders>
            <w:shd w:val="clear" w:color="auto" w:fill="auto"/>
            <w:noWrap/>
            <w:vAlign w:val="center"/>
            <w:hideMark/>
          </w:tcPr>
          <w:p w14:paraId="132EDF27"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             56,973 </w:t>
            </w:r>
          </w:p>
        </w:tc>
        <w:tc>
          <w:tcPr>
            <w:tcW w:w="1382" w:type="dxa"/>
            <w:tcBorders>
              <w:top w:val="nil"/>
              <w:left w:val="nil"/>
              <w:bottom w:val="single" w:sz="4" w:space="0" w:color="A6A6A6"/>
              <w:right w:val="single" w:sz="4" w:space="0" w:color="A6A6A6"/>
            </w:tcBorders>
            <w:shd w:val="clear" w:color="auto" w:fill="auto"/>
            <w:noWrap/>
            <w:vAlign w:val="center"/>
            <w:hideMark/>
          </w:tcPr>
          <w:p w14:paraId="08338B6D"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             75,778 </w:t>
            </w:r>
          </w:p>
        </w:tc>
        <w:tc>
          <w:tcPr>
            <w:tcW w:w="1438" w:type="dxa"/>
            <w:tcBorders>
              <w:top w:val="nil"/>
              <w:left w:val="nil"/>
              <w:bottom w:val="single" w:sz="4" w:space="0" w:color="A6A6A6"/>
              <w:right w:val="single" w:sz="4" w:space="0" w:color="A6A6A6"/>
            </w:tcBorders>
            <w:shd w:val="clear" w:color="auto" w:fill="auto"/>
            <w:noWrap/>
            <w:vAlign w:val="center"/>
            <w:hideMark/>
          </w:tcPr>
          <w:p w14:paraId="3C78872D"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              77,619 </w:t>
            </w:r>
          </w:p>
        </w:tc>
        <w:tc>
          <w:tcPr>
            <w:tcW w:w="1317" w:type="dxa"/>
            <w:tcBorders>
              <w:top w:val="nil"/>
              <w:left w:val="nil"/>
              <w:bottom w:val="single" w:sz="4" w:space="0" w:color="A6A6A6"/>
              <w:right w:val="single" w:sz="4" w:space="0" w:color="A6A6A6"/>
            </w:tcBorders>
            <w:shd w:val="clear" w:color="auto" w:fill="auto"/>
            <w:noWrap/>
            <w:vAlign w:val="center"/>
            <w:hideMark/>
          </w:tcPr>
          <w:p w14:paraId="76E69420" w14:textId="77777777" w:rsidR="009D34F7" w:rsidRPr="00382A62" w:rsidRDefault="009D34F7" w:rsidP="00622AB9">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1,841 </w:t>
            </w:r>
          </w:p>
        </w:tc>
        <w:tc>
          <w:tcPr>
            <w:tcW w:w="1317" w:type="dxa"/>
            <w:tcBorders>
              <w:top w:val="nil"/>
              <w:left w:val="nil"/>
              <w:bottom w:val="single" w:sz="4" w:space="0" w:color="A6A6A6"/>
              <w:right w:val="single" w:sz="4" w:space="0" w:color="A6A6A6"/>
            </w:tcBorders>
            <w:shd w:val="clear" w:color="auto" w:fill="auto"/>
            <w:noWrap/>
            <w:vAlign w:val="center"/>
            <w:hideMark/>
          </w:tcPr>
          <w:p w14:paraId="06CD741C" w14:textId="77777777" w:rsidR="009D34F7" w:rsidRPr="00382A62" w:rsidRDefault="009D34F7" w:rsidP="009D34F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2.4%</w:t>
            </w:r>
          </w:p>
        </w:tc>
      </w:tr>
      <w:tr w:rsidR="00F7075E" w:rsidRPr="00382A62" w14:paraId="5CB0D2E0" w14:textId="77777777" w:rsidTr="00F7075E">
        <w:trPr>
          <w:trHeight w:val="565"/>
          <w:jc w:val="center"/>
        </w:trPr>
        <w:tc>
          <w:tcPr>
            <w:tcW w:w="3764" w:type="dxa"/>
            <w:tcBorders>
              <w:top w:val="nil"/>
              <w:left w:val="single" w:sz="4" w:space="0" w:color="A6A6A6"/>
              <w:bottom w:val="single" w:sz="4" w:space="0" w:color="A6A6A6"/>
              <w:right w:val="single" w:sz="4" w:space="0" w:color="A6A6A6"/>
            </w:tcBorders>
            <w:shd w:val="clear" w:color="auto" w:fill="auto"/>
            <w:vAlign w:val="center"/>
            <w:hideMark/>
          </w:tcPr>
          <w:p w14:paraId="01D3D2A8"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Total promedio ponderado de acciones comunes al inicio y al final del año (en millones de acciones)</w:t>
            </w:r>
          </w:p>
        </w:tc>
        <w:tc>
          <w:tcPr>
            <w:tcW w:w="1382" w:type="dxa"/>
            <w:tcBorders>
              <w:top w:val="nil"/>
              <w:left w:val="nil"/>
              <w:bottom w:val="single" w:sz="4" w:space="0" w:color="A6A6A6"/>
              <w:right w:val="single" w:sz="4" w:space="0" w:color="A6A6A6"/>
            </w:tcBorders>
            <w:shd w:val="clear" w:color="auto" w:fill="auto"/>
            <w:noWrap/>
            <w:vAlign w:val="center"/>
            <w:hideMark/>
          </w:tcPr>
          <w:p w14:paraId="3645299C"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                  897 </w:t>
            </w:r>
          </w:p>
        </w:tc>
        <w:tc>
          <w:tcPr>
            <w:tcW w:w="1382" w:type="dxa"/>
            <w:tcBorders>
              <w:top w:val="nil"/>
              <w:left w:val="nil"/>
              <w:bottom w:val="single" w:sz="4" w:space="0" w:color="A6A6A6"/>
              <w:right w:val="single" w:sz="4" w:space="0" w:color="A6A6A6"/>
            </w:tcBorders>
            <w:shd w:val="clear" w:color="auto" w:fill="auto"/>
            <w:noWrap/>
            <w:vAlign w:val="center"/>
            <w:hideMark/>
          </w:tcPr>
          <w:p w14:paraId="165A1075"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                  883 </w:t>
            </w:r>
          </w:p>
        </w:tc>
        <w:tc>
          <w:tcPr>
            <w:tcW w:w="1438" w:type="dxa"/>
            <w:tcBorders>
              <w:top w:val="nil"/>
              <w:left w:val="nil"/>
              <w:bottom w:val="single" w:sz="4" w:space="0" w:color="A6A6A6"/>
              <w:right w:val="single" w:sz="4" w:space="0" w:color="A6A6A6"/>
            </w:tcBorders>
            <w:shd w:val="clear" w:color="auto" w:fill="auto"/>
            <w:noWrap/>
            <w:vAlign w:val="center"/>
            <w:hideMark/>
          </w:tcPr>
          <w:p w14:paraId="18360743"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                   871 </w:t>
            </w:r>
          </w:p>
        </w:tc>
        <w:tc>
          <w:tcPr>
            <w:tcW w:w="1317" w:type="dxa"/>
            <w:tcBorders>
              <w:top w:val="nil"/>
              <w:left w:val="nil"/>
              <w:bottom w:val="single" w:sz="4" w:space="0" w:color="A6A6A6"/>
              <w:right w:val="single" w:sz="4" w:space="0" w:color="A6A6A6"/>
            </w:tcBorders>
            <w:shd w:val="clear" w:color="auto" w:fill="auto"/>
            <w:noWrap/>
            <w:vAlign w:val="center"/>
            <w:hideMark/>
          </w:tcPr>
          <w:p w14:paraId="6BC15600" w14:textId="77777777" w:rsidR="009D34F7" w:rsidRPr="00382A62" w:rsidRDefault="009D34F7" w:rsidP="00BB093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12 </w:t>
            </w:r>
          </w:p>
        </w:tc>
        <w:tc>
          <w:tcPr>
            <w:tcW w:w="1317" w:type="dxa"/>
            <w:tcBorders>
              <w:top w:val="nil"/>
              <w:left w:val="nil"/>
              <w:bottom w:val="single" w:sz="4" w:space="0" w:color="A6A6A6"/>
              <w:right w:val="single" w:sz="4" w:space="0" w:color="A6A6A6"/>
            </w:tcBorders>
            <w:shd w:val="clear" w:color="auto" w:fill="auto"/>
            <w:noWrap/>
            <w:vAlign w:val="center"/>
            <w:hideMark/>
          </w:tcPr>
          <w:p w14:paraId="730D34D5" w14:textId="77777777" w:rsidR="009D34F7" w:rsidRPr="00382A62" w:rsidRDefault="009D34F7" w:rsidP="00F7075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-1.4%</w:t>
            </w:r>
          </w:p>
        </w:tc>
      </w:tr>
      <w:tr w:rsidR="00F7075E" w:rsidRPr="00382A62" w14:paraId="0DC6A867" w14:textId="77777777" w:rsidTr="00F7075E">
        <w:trPr>
          <w:trHeight w:val="231"/>
          <w:jc w:val="center"/>
        </w:trPr>
        <w:tc>
          <w:tcPr>
            <w:tcW w:w="3764" w:type="dxa"/>
            <w:tcBorders>
              <w:top w:val="nil"/>
              <w:left w:val="single" w:sz="4" w:space="0" w:color="A6A6A6"/>
              <w:bottom w:val="single" w:sz="4" w:space="0" w:color="A6A6A6"/>
              <w:right w:val="single" w:sz="4" w:space="0" w:color="A6A6A6"/>
            </w:tcBorders>
            <w:shd w:val="clear" w:color="auto" w:fill="auto"/>
            <w:noWrap/>
            <w:vAlign w:val="center"/>
            <w:hideMark/>
          </w:tcPr>
          <w:p w14:paraId="0696D330"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 por acción (en colones)</w:t>
            </w:r>
          </w:p>
        </w:tc>
        <w:tc>
          <w:tcPr>
            <w:tcW w:w="1382" w:type="dxa"/>
            <w:tcBorders>
              <w:top w:val="nil"/>
              <w:left w:val="nil"/>
              <w:bottom w:val="single" w:sz="4" w:space="0" w:color="A6A6A6"/>
              <w:right w:val="single" w:sz="4" w:space="0" w:color="A6A6A6"/>
            </w:tcBorders>
            <w:shd w:val="clear" w:color="auto" w:fill="auto"/>
            <w:noWrap/>
            <w:vAlign w:val="center"/>
            <w:hideMark/>
          </w:tcPr>
          <w:p w14:paraId="63309CEC"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                 63.5 </w:t>
            </w:r>
          </w:p>
        </w:tc>
        <w:tc>
          <w:tcPr>
            <w:tcW w:w="1382" w:type="dxa"/>
            <w:tcBorders>
              <w:top w:val="nil"/>
              <w:left w:val="nil"/>
              <w:bottom w:val="single" w:sz="4" w:space="0" w:color="A6A6A6"/>
              <w:right w:val="single" w:sz="4" w:space="0" w:color="A6A6A6"/>
            </w:tcBorders>
            <w:shd w:val="clear" w:color="auto" w:fill="auto"/>
            <w:noWrap/>
            <w:vAlign w:val="center"/>
            <w:hideMark/>
          </w:tcPr>
          <w:p w14:paraId="5B00E452"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                 85.8 </w:t>
            </w:r>
          </w:p>
        </w:tc>
        <w:tc>
          <w:tcPr>
            <w:tcW w:w="1438" w:type="dxa"/>
            <w:tcBorders>
              <w:top w:val="nil"/>
              <w:left w:val="nil"/>
              <w:bottom w:val="single" w:sz="4" w:space="0" w:color="A6A6A6"/>
              <w:right w:val="single" w:sz="4" w:space="0" w:color="A6A6A6"/>
            </w:tcBorders>
            <w:shd w:val="clear" w:color="auto" w:fill="auto"/>
            <w:noWrap/>
            <w:vAlign w:val="center"/>
            <w:hideMark/>
          </w:tcPr>
          <w:p w14:paraId="4C440EC8"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                  89.1 </w:t>
            </w:r>
          </w:p>
        </w:tc>
        <w:tc>
          <w:tcPr>
            <w:tcW w:w="1317" w:type="dxa"/>
            <w:tcBorders>
              <w:top w:val="nil"/>
              <w:left w:val="nil"/>
              <w:bottom w:val="single" w:sz="4" w:space="0" w:color="A6A6A6"/>
              <w:right w:val="single" w:sz="4" w:space="0" w:color="A6A6A6"/>
            </w:tcBorders>
            <w:shd w:val="clear" w:color="auto" w:fill="auto"/>
            <w:noWrap/>
            <w:vAlign w:val="center"/>
            <w:hideMark/>
          </w:tcPr>
          <w:p w14:paraId="69F7E532" w14:textId="77777777" w:rsidR="009D34F7" w:rsidRPr="00382A62" w:rsidRDefault="009D34F7" w:rsidP="00622AB9">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 </w:t>
            </w:r>
          </w:p>
        </w:tc>
        <w:tc>
          <w:tcPr>
            <w:tcW w:w="1317" w:type="dxa"/>
            <w:tcBorders>
              <w:top w:val="nil"/>
              <w:left w:val="nil"/>
              <w:bottom w:val="single" w:sz="4" w:space="0" w:color="A6A6A6"/>
              <w:right w:val="single" w:sz="4" w:space="0" w:color="A6A6A6"/>
            </w:tcBorders>
            <w:shd w:val="clear" w:color="auto" w:fill="auto"/>
            <w:noWrap/>
            <w:vAlign w:val="center"/>
            <w:hideMark/>
          </w:tcPr>
          <w:p w14:paraId="6620A77F" w14:textId="77777777" w:rsidR="009D34F7" w:rsidRPr="00382A62" w:rsidRDefault="009D34F7" w:rsidP="009D34F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3.8%</w:t>
            </w:r>
          </w:p>
        </w:tc>
      </w:tr>
    </w:tbl>
    <w:p w14:paraId="7C34A6F9" w14:textId="77777777" w:rsidR="00E4748D" w:rsidRPr="00382A62" w:rsidRDefault="00E4748D" w:rsidP="007605E6">
      <w:pPr>
        <w:rPr>
          <w:rFonts w:cs="Arial"/>
          <w:szCs w:val="20"/>
        </w:rPr>
      </w:pPr>
    </w:p>
    <w:p w14:paraId="6D01695F" w14:textId="3CB50D52" w:rsidR="007605E6" w:rsidRPr="00382A62" w:rsidRDefault="007605E6" w:rsidP="007605E6">
      <w:pPr>
        <w:rPr>
          <w:rFonts w:cs="Arial"/>
          <w:szCs w:val="20"/>
        </w:rPr>
      </w:pPr>
      <w:r w:rsidRPr="00382A62">
        <w:rPr>
          <w:rFonts w:cs="Arial"/>
          <w:szCs w:val="20"/>
        </w:rPr>
        <w:t>Para el período 202</w:t>
      </w:r>
      <w:r w:rsidR="00FF4529" w:rsidRPr="00382A62">
        <w:rPr>
          <w:rFonts w:cs="Arial"/>
          <w:szCs w:val="20"/>
        </w:rPr>
        <w:t>3</w:t>
      </w:r>
      <w:r w:rsidRPr="00382A62">
        <w:rPr>
          <w:rFonts w:cs="Arial"/>
          <w:szCs w:val="20"/>
        </w:rPr>
        <w:t xml:space="preserve">, se da un aumento de </w:t>
      </w:r>
      <w:r w:rsidR="00556DB5" w:rsidRPr="00382A62">
        <w:rPr>
          <w:rFonts w:cs="Arial"/>
          <w:szCs w:val="20"/>
        </w:rPr>
        <w:t xml:space="preserve">3 </w:t>
      </w:r>
      <w:r w:rsidRPr="00382A62">
        <w:rPr>
          <w:rFonts w:cs="Arial"/>
          <w:szCs w:val="20"/>
        </w:rPr>
        <w:t>colones en relación con el año anterior producto de la mejora en la utilidad neta de la Compañía.</w:t>
      </w:r>
    </w:p>
    <w:p w14:paraId="6A34501B" w14:textId="77777777" w:rsidR="007605E6" w:rsidRPr="00382A62" w:rsidRDefault="007605E6" w:rsidP="007605E6">
      <w:pPr>
        <w:pStyle w:val="Ttulo3"/>
        <w:numPr>
          <w:ilvl w:val="1"/>
          <w:numId w:val="10"/>
        </w:numPr>
        <w:rPr>
          <w:rFonts w:cs="Arial"/>
          <w:sz w:val="20"/>
          <w:szCs w:val="20"/>
        </w:rPr>
      </w:pPr>
      <w:bookmarkStart w:id="77" w:name="_Toc131092872"/>
      <w:bookmarkStart w:id="78" w:name="_Toc131501071"/>
      <w:bookmarkStart w:id="79" w:name="_Toc169624630"/>
      <w:r w:rsidRPr="00382A62">
        <w:rPr>
          <w:rFonts w:cs="Arial"/>
          <w:sz w:val="20"/>
          <w:szCs w:val="20"/>
        </w:rPr>
        <w:t>Índices de actividad</w:t>
      </w:r>
      <w:bookmarkEnd w:id="77"/>
      <w:bookmarkEnd w:id="78"/>
      <w:bookmarkEnd w:id="79"/>
    </w:p>
    <w:p w14:paraId="73F1F98B" w14:textId="77777777" w:rsidR="007605E6" w:rsidRPr="00382A62" w:rsidRDefault="007605E6" w:rsidP="007605E6">
      <w:pPr>
        <w:pStyle w:val="Prrafodelista"/>
        <w:numPr>
          <w:ilvl w:val="0"/>
          <w:numId w:val="21"/>
        </w:numPr>
        <w:rPr>
          <w:rFonts w:cs="Arial"/>
          <w:b/>
          <w:bCs/>
          <w:szCs w:val="20"/>
        </w:rPr>
      </w:pPr>
      <w:r w:rsidRPr="00382A62">
        <w:rPr>
          <w:rFonts w:cs="Arial"/>
          <w:b/>
          <w:bCs/>
          <w:szCs w:val="20"/>
        </w:rPr>
        <w:t>Periodo medio de cobro de cuentas por cobrar comerciales</w:t>
      </w:r>
    </w:p>
    <w:p w14:paraId="3E215961" w14:textId="17769C58" w:rsidR="006559E9" w:rsidRPr="00382A62" w:rsidRDefault="007605E6" w:rsidP="007605E6">
      <w:pPr>
        <w:rPr>
          <w:rFonts w:cs="Arial"/>
          <w:szCs w:val="20"/>
        </w:rPr>
      </w:pPr>
      <w:r w:rsidRPr="00382A62">
        <w:rPr>
          <w:rFonts w:cs="Arial"/>
          <w:szCs w:val="20"/>
        </w:rPr>
        <w:t>El cálculo de esta razón corresponde a tomar el saldo de las cuentas por cobrar multiplicado por 365 días y dividirlo entre las ventas a crédito (para el año 202</w:t>
      </w:r>
      <w:r w:rsidR="00C65BE5" w:rsidRPr="00382A62">
        <w:rPr>
          <w:rFonts w:cs="Arial"/>
          <w:szCs w:val="20"/>
        </w:rPr>
        <w:t>2</w:t>
      </w:r>
      <w:r w:rsidRPr="00382A62">
        <w:rPr>
          <w:rFonts w:cs="Arial"/>
          <w:szCs w:val="20"/>
        </w:rPr>
        <w:t xml:space="preserve"> las ventas a crédito representan el 99% de las ventas totales). Se interpreta como plazo promedio de recuperación de las cuentas por cobrar expresado en días.</w:t>
      </w:r>
    </w:p>
    <w:p w14:paraId="6FAC3856" w14:textId="3292EF2F" w:rsidR="007605E6" w:rsidRPr="00382A62" w:rsidRDefault="007605E6" w:rsidP="007605E6">
      <w:pPr>
        <w:pStyle w:val="Descripcin"/>
        <w:rPr>
          <w:rFonts w:cs="Arial"/>
          <w:szCs w:val="20"/>
        </w:rPr>
      </w:pPr>
      <w:bookmarkStart w:id="80" w:name="_Toc169624713"/>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17</w:t>
      </w:r>
      <w:r w:rsidR="00423C23" w:rsidRPr="00382A62">
        <w:rPr>
          <w:rFonts w:cs="Arial"/>
          <w:noProof/>
          <w:szCs w:val="20"/>
        </w:rPr>
        <w:fldChar w:fldCharType="end"/>
      </w:r>
      <w:r w:rsidRPr="00382A62">
        <w:rPr>
          <w:rFonts w:cs="Arial"/>
          <w:szCs w:val="20"/>
        </w:rPr>
        <w:t xml:space="preserve"> - Periodo medio de cobro de cuentas por cobrar comerciales</w:t>
      </w:r>
      <w:bookmarkEnd w:id="80"/>
    </w:p>
    <w:tbl>
      <w:tblPr>
        <w:tblW w:w="10140" w:type="dxa"/>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29609F" w:rsidRPr="00382A62" w14:paraId="3C81BF3A" w14:textId="77777777" w:rsidTr="0029609F">
        <w:trPr>
          <w:trHeight w:val="280"/>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0CA0787" w14:textId="77777777" w:rsidR="0029609F" w:rsidRPr="00382A62" w:rsidRDefault="0029609F" w:rsidP="0029609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Período medio de cuentas por cobrar</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618F7F5D" w14:textId="77777777" w:rsidR="0029609F" w:rsidRPr="00382A62" w:rsidRDefault="0029609F" w:rsidP="0029609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5915EAE7" w14:textId="77777777" w:rsidR="0029609F" w:rsidRPr="00382A62" w:rsidRDefault="0029609F" w:rsidP="0029609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8E1763C" w14:textId="77777777" w:rsidR="0029609F" w:rsidRPr="00382A62" w:rsidRDefault="0029609F" w:rsidP="0029609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29609F" w:rsidRPr="00382A62" w14:paraId="4BF7D6EF" w14:textId="77777777" w:rsidTr="0029609F">
        <w:trPr>
          <w:trHeight w:val="280"/>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5891EF55" w14:textId="77777777" w:rsidR="0029609F" w:rsidRPr="00382A62" w:rsidRDefault="0029609F" w:rsidP="0029609F">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719772DB" w14:textId="77777777" w:rsidR="0029609F" w:rsidRPr="00382A62" w:rsidRDefault="0029609F" w:rsidP="0029609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5A1E39BD" w14:textId="77777777" w:rsidR="0029609F" w:rsidRPr="00382A62" w:rsidRDefault="0029609F" w:rsidP="0029609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5499DD01" w14:textId="77777777" w:rsidR="0029609F" w:rsidRPr="00382A62" w:rsidRDefault="0029609F" w:rsidP="0029609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2DC044EF" w14:textId="77777777" w:rsidR="0029609F" w:rsidRPr="00382A62" w:rsidRDefault="0029609F" w:rsidP="0029609F">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442148EF" w14:textId="77777777" w:rsidR="0029609F" w:rsidRPr="00382A62" w:rsidRDefault="0029609F" w:rsidP="0029609F">
            <w:pPr>
              <w:spacing w:after="0" w:line="240" w:lineRule="auto"/>
              <w:jc w:val="left"/>
              <w:rPr>
                <w:rFonts w:eastAsia="Times New Roman" w:cs="Arial"/>
                <w:b/>
                <w:bCs/>
                <w:color w:val="000000"/>
                <w:szCs w:val="20"/>
                <w:lang w:val="es-419" w:eastAsia="es-419"/>
              </w:rPr>
            </w:pPr>
          </w:p>
        </w:tc>
      </w:tr>
      <w:tr w:rsidR="0029609F" w:rsidRPr="00382A62" w14:paraId="65582AA6" w14:textId="77777777" w:rsidTr="0029609F">
        <w:trPr>
          <w:trHeight w:val="280"/>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7DFD6E0E" w14:textId="77777777" w:rsidR="0029609F" w:rsidRPr="00382A62" w:rsidRDefault="0029609F" w:rsidP="0029609F">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Cuentas por cobrar por 365 días</w:t>
            </w:r>
          </w:p>
        </w:tc>
        <w:tc>
          <w:tcPr>
            <w:tcW w:w="1322" w:type="dxa"/>
            <w:tcBorders>
              <w:top w:val="nil"/>
              <w:left w:val="nil"/>
              <w:bottom w:val="single" w:sz="4" w:space="0" w:color="A6A6A6"/>
              <w:right w:val="single" w:sz="4" w:space="0" w:color="A6A6A6"/>
            </w:tcBorders>
            <w:shd w:val="clear" w:color="auto" w:fill="auto"/>
            <w:noWrap/>
            <w:vAlign w:val="bottom"/>
            <w:hideMark/>
          </w:tcPr>
          <w:p w14:paraId="7E740A1D"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32,425,505 </w:t>
            </w:r>
          </w:p>
        </w:tc>
        <w:tc>
          <w:tcPr>
            <w:tcW w:w="1322" w:type="dxa"/>
            <w:tcBorders>
              <w:top w:val="nil"/>
              <w:left w:val="nil"/>
              <w:bottom w:val="single" w:sz="4" w:space="0" w:color="A6A6A6"/>
              <w:right w:val="single" w:sz="4" w:space="0" w:color="A6A6A6"/>
            </w:tcBorders>
            <w:shd w:val="clear" w:color="auto" w:fill="auto"/>
            <w:noWrap/>
            <w:vAlign w:val="bottom"/>
            <w:hideMark/>
          </w:tcPr>
          <w:p w14:paraId="44B504A1"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32,399,590 </w:t>
            </w:r>
          </w:p>
        </w:tc>
        <w:tc>
          <w:tcPr>
            <w:tcW w:w="1376" w:type="dxa"/>
            <w:tcBorders>
              <w:top w:val="nil"/>
              <w:left w:val="nil"/>
              <w:bottom w:val="single" w:sz="4" w:space="0" w:color="A6A6A6"/>
              <w:right w:val="single" w:sz="4" w:space="0" w:color="A6A6A6"/>
            </w:tcBorders>
            <w:shd w:val="clear" w:color="auto" w:fill="auto"/>
            <w:noWrap/>
            <w:vAlign w:val="bottom"/>
            <w:hideMark/>
          </w:tcPr>
          <w:p w14:paraId="6F7F6555"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32,771,525 </w:t>
            </w:r>
          </w:p>
        </w:tc>
        <w:tc>
          <w:tcPr>
            <w:tcW w:w="1260" w:type="dxa"/>
            <w:tcBorders>
              <w:top w:val="nil"/>
              <w:left w:val="nil"/>
              <w:bottom w:val="single" w:sz="4" w:space="0" w:color="A6A6A6"/>
              <w:right w:val="single" w:sz="4" w:space="0" w:color="A6A6A6"/>
            </w:tcBorders>
            <w:shd w:val="clear" w:color="auto" w:fill="auto"/>
            <w:noWrap/>
            <w:vAlign w:val="bottom"/>
            <w:hideMark/>
          </w:tcPr>
          <w:p w14:paraId="055F6DB6"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371,935 </w:t>
            </w:r>
          </w:p>
        </w:tc>
        <w:tc>
          <w:tcPr>
            <w:tcW w:w="1260" w:type="dxa"/>
            <w:tcBorders>
              <w:top w:val="nil"/>
              <w:left w:val="nil"/>
              <w:bottom w:val="single" w:sz="4" w:space="0" w:color="A6A6A6"/>
              <w:right w:val="single" w:sz="4" w:space="0" w:color="A6A6A6"/>
            </w:tcBorders>
            <w:shd w:val="clear" w:color="auto" w:fill="auto"/>
            <w:noWrap/>
            <w:vAlign w:val="bottom"/>
            <w:hideMark/>
          </w:tcPr>
          <w:p w14:paraId="39008E19"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1.1%</w:t>
            </w:r>
          </w:p>
        </w:tc>
      </w:tr>
      <w:tr w:rsidR="0029609F" w:rsidRPr="00382A62" w14:paraId="60AD8865" w14:textId="77777777" w:rsidTr="0029609F">
        <w:trPr>
          <w:trHeight w:val="280"/>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02690CC8" w14:textId="77777777" w:rsidR="0029609F" w:rsidRPr="00382A62" w:rsidRDefault="0029609F" w:rsidP="0029609F">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Ventas a crédito</w:t>
            </w:r>
          </w:p>
        </w:tc>
        <w:tc>
          <w:tcPr>
            <w:tcW w:w="1322" w:type="dxa"/>
            <w:tcBorders>
              <w:top w:val="nil"/>
              <w:left w:val="nil"/>
              <w:bottom w:val="single" w:sz="4" w:space="0" w:color="A6A6A6"/>
              <w:right w:val="single" w:sz="4" w:space="0" w:color="A6A6A6"/>
            </w:tcBorders>
            <w:shd w:val="clear" w:color="auto" w:fill="auto"/>
            <w:noWrap/>
            <w:vAlign w:val="bottom"/>
            <w:hideMark/>
          </w:tcPr>
          <w:p w14:paraId="131C0C68"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744,069 </w:t>
            </w:r>
          </w:p>
        </w:tc>
        <w:tc>
          <w:tcPr>
            <w:tcW w:w="1322" w:type="dxa"/>
            <w:tcBorders>
              <w:top w:val="nil"/>
              <w:left w:val="nil"/>
              <w:bottom w:val="single" w:sz="4" w:space="0" w:color="A6A6A6"/>
              <w:right w:val="single" w:sz="4" w:space="0" w:color="A6A6A6"/>
            </w:tcBorders>
            <w:shd w:val="clear" w:color="auto" w:fill="auto"/>
            <w:noWrap/>
            <w:vAlign w:val="bottom"/>
            <w:hideMark/>
          </w:tcPr>
          <w:p w14:paraId="3614AAA8" w14:textId="77777777" w:rsidR="0029609F" w:rsidRPr="00382A62" w:rsidRDefault="0029609F" w:rsidP="0029609F">
            <w:pPr>
              <w:spacing w:after="0" w:line="240" w:lineRule="auto"/>
              <w:jc w:val="right"/>
              <w:rPr>
                <w:rFonts w:eastAsia="Times New Roman" w:cs="Arial"/>
                <w:szCs w:val="20"/>
                <w:lang w:val="es-419" w:eastAsia="es-419"/>
              </w:rPr>
            </w:pPr>
            <w:r w:rsidRPr="00382A62">
              <w:rPr>
                <w:rFonts w:eastAsia="Times New Roman" w:cs="Arial"/>
                <w:szCs w:val="20"/>
                <w:lang w:val="es-419" w:eastAsia="es-419"/>
              </w:rPr>
              <w:t xml:space="preserve">           838,110 </w:t>
            </w:r>
          </w:p>
        </w:tc>
        <w:tc>
          <w:tcPr>
            <w:tcW w:w="1376" w:type="dxa"/>
            <w:tcBorders>
              <w:top w:val="nil"/>
              <w:left w:val="nil"/>
              <w:bottom w:val="single" w:sz="4" w:space="0" w:color="A6A6A6"/>
              <w:right w:val="single" w:sz="4" w:space="0" w:color="A6A6A6"/>
            </w:tcBorders>
            <w:shd w:val="clear" w:color="auto" w:fill="auto"/>
            <w:noWrap/>
            <w:vAlign w:val="bottom"/>
            <w:hideMark/>
          </w:tcPr>
          <w:p w14:paraId="51E3B457" w14:textId="77777777" w:rsidR="0029609F" w:rsidRPr="00382A62" w:rsidRDefault="0029609F" w:rsidP="0029609F">
            <w:pPr>
              <w:spacing w:after="0" w:line="240" w:lineRule="auto"/>
              <w:jc w:val="right"/>
              <w:rPr>
                <w:rFonts w:eastAsia="Times New Roman" w:cs="Arial"/>
                <w:szCs w:val="20"/>
                <w:lang w:val="es-419" w:eastAsia="es-419"/>
              </w:rPr>
            </w:pPr>
            <w:r w:rsidRPr="00382A62">
              <w:rPr>
                <w:rFonts w:eastAsia="Times New Roman" w:cs="Arial"/>
                <w:szCs w:val="20"/>
                <w:lang w:val="es-419" w:eastAsia="es-419"/>
              </w:rPr>
              <w:t xml:space="preserve">            819,113 </w:t>
            </w:r>
          </w:p>
        </w:tc>
        <w:tc>
          <w:tcPr>
            <w:tcW w:w="1260" w:type="dxa"/>
            <w:tcBorders>
              <w:top w:val="nil"/>
              <w:left w:val="nil"/>
              <w:bottom w:val="single" w:sz="4" w:space="0" w:color="A6A6A6"/>
              <w:right w:val="single" w:sz="4" w:space="0" w:color="A6A6A6"/>
            </w:tcBorders>
            <w:shd w:val="clear" w:color="auto" w:fill="auto"/>
            <w:noWrap/>
            <w:vAlign w:val="bottom"/>
            <w:hideMark/>
          </w:tcPr>
          <w:p w14:paraId="278A481F"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18,997 </w:t>
            </w:r>
          </w:p>
        </w:tc>
        <w:tc>
          <w:tcPr>
            <w:tcW w:w="1260" w:type="dxa"/>
            <w:tcBorders>
              <w:top w:val="nil"/>
              <w:left w:val="nil"/>
              <w:bottom w:val="single" w:sz="4" w:space="0" w:color="A6A6A6"/>
              <w:right w:val="single" w:sz="4" w:space="0" w:color="A6A6A6"/>
            </w:tcBorders>
            <w:shd w:val="clear" w:color="auto" w:fill="auto"/>
            <w:noWrap/>
            <w:vAlign w:val="bottom"/>
            <w:hideMark/>
          </w:tcPr>
          <w:p w14:paraId="7EFD90EB"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-2.3%</w:t>
            </w:r>
          </w:p>
        </w:tc>
      </w:tr>
      <w:tr w:rsidR="0029609F" w:rsidRPr="00382A62" w14:paraId="43271A72" w14:textId="77777777" w:rsidTr="0029609F">
        <w:trPr>
          <w:trHeight w:val="280"/>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7C5682CC" w14:textId="77777777" w:rsidR="0029609F" w:rsidRPr="00382A62" w:rsidRDefault="0029609F" w:rsidP="0029609F">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Período medio de cuentas por cobrar (Días)</w:t>
            </w:r>
          </w:p>
        </w:tc>
        <w:tc>
          <w:tcPr>
            <w:tcW w:w="1322" w:type="dxa"/>
            <w:tcBorders>
              <w:top w:val="nil"/>
              <w:left w:val="nil"/>
              <w:bottom w:val="single" w:sz="4" w:space="0" w:color="A6A6A6"/>
              <w:right w:val="single" w:sz="4" w:space="0" w:color="A6A6A6"/>
            </w:tcBorders>
            <w:shd w:val="clear" w:color="auto" w:fill="auto"/>
            <w:noWrap/>
            <w:vAlign w:val="bottom"/>
            <w:hideMark/>
          </w:tcPr>
          <w:p w14:paraId="1DE4D2D5"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44 </w:t>
            </w:r>
          </w:p>
        </w:tc>
        <w:tc>
          <w:tcPr>
            <w:tcW w:w="1322" w:type="dxa"/>
            <w:tcBorders>
              <w:top w:val="nil"/>
              <w:left w:val="nil"/>
              <w:bottom w:val="single" w:sz="4" w:space="0" w:color="A6A6A6"/>
              <w:right w:val="single" w:sz="4" w:space="0" w:color="A6A6A6"/>
            </w:tcBorders>
            <w:shd w:val="clear" w:color="auto" w:fill="auto"/>
            <w:noWrap/>
            <w:vAlign w:val="bottom"/>
            <w:hideMark/>
          </w:tcPr>
          <w:p w14:paraId="6E78FFA1"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39 </w:t>
            </w:r>
          </w:p>
        </w:tc>
        <w:tc>
          <w:tcPr>
            <w:tcW w:w="1376" w:type="dxa"/>
            <w:tcBorders>
              <w:top w:val="nil"/>
              <w:left w:val="nil"/>
              <w:bottom w:val="single" w:sz="4" w:space="0" w:color="A6A6A6"/>
              <w:right w:val="single" w:sz="4" w:space="0" w:color="A6A6A6"/>
            </w:tcBorders>
            <w:shd w:val="clear" w:color="auto" w:fill="auto"/>
            <w:noWrap/>
            <w:vAlign w:val="bottom"/>
            <w:hideMark/>
          </w:tcPr>
          <w:p w14:paraId="32F3C3EB"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40 </w:t>
            </w:r>
          </w:p>
        </w:tc>
        <w:tc>
          <w:tcPr>
            <w:tcW w:w="1260" w:type="dxa"/>
            <w:tcBorders>
              <w:top w:val="nil"/>
              <w:left w:val="nil"/>
              <w:bottom w:val="single" w:sz="4" w:space="0" w:color="A6A6A6"/>
              <w:right w:val="single" w:sz="4" w:space="0" w:color="A6A6A6"/>
            </w:tcBorders>
            <w:shd w:val="clear" w:color="auto" w:fill="auto"/>
            <w:noWrap/>
            <w:vAlign w:val="bottom"/>
            <w:hideMark/>
          </w:tcPr>
          <w:p w14:paraId="4CAFCEBC"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 </w:t>
            </w:r>
          </w:p>
        </w:tc>
        <w:tc>
          <w:tcPr>
            <w:tcW w:w="1260" w:type="dxa"/>
            <w:tcBorders>
              <w:top w:val="nil"/>
              <w:left w:val="nil"/>
              <w:bottom w:val="single" w:sz="4" w:space="0" w:color="A6A6A6"/>
              <w:right w:val="single" w:sz="4" w:space="0" w:color="A6A6A6"/>
            </w:tcBorders>
            <w:shd w:val="clear" w:color="auto" w:fill="auto"/>
            <w:noWrap/>
            <w:vAlign w:val="bottom"/>
            <w:hideMark/>
          </w:tcPr>
          <w:p w14:paraId="0F9ADD43"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3.5%</w:t>
            </w:r>
          </w:p>
        </w:tc>
      </w:tr>
    </w:tbl>
    <w:p w14:paraId="7A81333A" w14:textId="77777777" w:rsidR="007605E6" w:rsidRPr="00382A62" w:rsidRDefault="007605E6" w:rsidP="007605E6">
      <w:pPr>
        <w:jc w:val="center"/>
        <w:rPr>
          <w:rFonts w:cs="Arial"/>
          <w:szCs w:val="20"/>
        </w:rPr>
      </w:pPr>
    </w:p>
    <w:p w14:paraId="49973427" w14:textId="58195DE4" w:rsidR="007605E6" w:rsidRPr="00382A62" w:rsidRDefault="007605E6" w:rsidP="007605E6">
      <w:pPr>
        <w:rPr>
          <w:rFonts w:cs="Arial"/>
          <w:szCs w:val="20"/>
        </w:rPr>
      </w:pPr>
      <w:r w:rsidRPr="00382A62">
        <w:rPr>
          <w:rFonts w:cs="Arial"/>
          <w:szCs w:val="20"/>
        </w:rPr>
        <w:t>FIFCO posee una política de crédito que le permite mantener niveles de recuperación favorables. Sin embargo, este indicador ha experimentado un</w:t>
      </w:r>
      <w:r w:rsidR="00AA4FB0" w:rsidRPr="00382A62">
        <w:rPr>
          <w:rFonts w:cs="Arial"/>
          <w:szCs w:val="20"/>
        </w:rPr>
        <w:t xml:space="preserve"> aumento</w:t>
      </w:r>
      <w:r w:rsidRPr="00382A62">
        <w:rPr>
          <w:rFonts w:cs="Arial"/>
          <w:szCs w:val="20"/>
        </w:rPr>
        <w:t xml:space="preserve"> de </w:t>
      </w:r>
      <w:r w:rsidR="00AA4FB0" w:rsidRPr="00382A62">
        <w:rPr>
          <w:rFonts w:cs="Arial"/>
          <w:szCs w:val="20"/>
        </w:rPr>
        <w:t>1</w:t>
      </w:r>
      <w:r w:rsidRPr="00382A62">
        <w:rPr>
          <w:rFonts w:cs="Arial"/>
          <w:szCs w:val="20"/>
        </w:rPr>
        <w:t xml:space="preserve"> dí</w:t>
      </w:r>
      <w:r w:rsidR="00A54256" w:rsidRPr="00382A62">
        <w:rPr>
          <w:rFonts w:cs="Arial"/>
          <w:szCs w:val="20"/>
        </w:rPr>
        <w:t>a</w:t>
      </w:r>
      <w:r w:rsidRPr="00382A62">
        <w:rPr>
          <w:rFonts w:cs="Arial"/>
          <w:szCs w:val="20"/>
        </w:rPr>
        <w:t xml:space="preserve"> en el periodo de recuperación producto de la recuperación comercia</w:t>
      </w:r>
      <w:r w:rsidR="00A54256" w:rsidRPr="00382A62">
        <w:rPr>
          <w:rFonts w:cs="Arial"/>
          <w:szCs w:val="20"/>
        </w:rPr>
        <w:t xml:space="preserve"> y condiciones de mercado.</w:t>
      </w:r>
    </w:p>
    <w:p w14:paraId="48B88E37" w14:textId="77777777" w:rsidR="007605E6" w:rsidRPr="00382A62" w:rsidRDefault="007605E6" w:rsidP="007605E6">
      <w:pPr>
        <w:pStyle w:val="Prrafodelista"/>
        <w:numPr>
          <w:ilvl w:val="0"/>
          <w:numId w:val="21"/>
        </w:numPr>
        <w:rPr>
          <w:rFonts w:cs="Arial"/>
          <w:b/>
          <w:bCs/>
          <w:szCs w:val="20"/>
        </w:rPr>
      </w:pPr>
      <w:r w:rsidRPr="00382A62">
        <w:rPr>
          <w:rFonts w:cs="Arial"/>
          <w:b/>
          <w:bCs/>
          <w:szCs w:val="20"/>
        </w:rPr>
        <w:t>Periodo medio de pago</w:t>
      </w:r>
    </w:p>
    <w:p w14:paraId="6B34A9D9" w14:textId="77777777" w:rsidR="007605E6" w:rsidRPr="00382A62" w:rsidRDefault="007605E6" w:rsidP="007605E6">
      <w:pPr>
        <w:rPr>
          <w:rFonts w:cs="Arial"/>
          <w:szCs w:val="20"/>
        </w:rPr>
      </w:pPr>
      <w:r w:rsidRPr="00382A62">
        <w:rPr>
          <w:rFonts w:cs="Arial"/>
          <w:szCs w:val="20"/>
        </w:rPr>
        <w:t>El cálculo de esta razón corresponde a tomar el saldo de las cuentas por pagar, multiplicarlo por los 365 días y dividirlo entre el costo de ventas. Se interpreta como la cantidad de días promedio que tarda la Compañía en realizarles los pagos a sus proveedores.</w:t>
      </w:r>
    </w:p>
    <w:p w14:paraId="71E0556C" w14:textId="77777777" w:rsidR="00AF797E" w:rsidRDefault="00AF797E" w:rsidP="007605E6">
      <w:pPr>
        <w:pStyle w:val="Descripcin"/>
        <w:rPr>
          <w:rFonts w:cs="Arial"/>
          <w:szCs w:val="20"/>
        </w:rPr>
      </w:pPr>
    </w:p>
    <w:p w14:paraId="708C9052" w14:textId="77777777" w:rsidR="008C339A" w:rsidRPr="008C339A" w:rsidRDefault="008C339A" w:rsidP="008C339A"/>
    <w:p w14:paraId="66465265" w14:textId="77777777" w:rsidR="00573FCD" w:rsidRDefault="00573FCD" w:rsidP="007605E6">
      <w:pPr>
        <w:pStyle w:val="Descripcin"/>
        <w:rPr>
          <w:rFonts w:cs="Arial"/>
          <w:szCs w:val="20"/>
        </w:rPr>
      </w:pPr>
    </w:p>
    <w:p w14:paraId="5E64C9D0" w14:textId="128DD58E" w:rsidR="007605E6" w:rsidRPr="00382A62" w:rsidRDefault="007605E6" w:rsidP="007605E6">
      <w:pPr>
        <w:pStyle w:val="Descripcin"/>
        <w:rPr>
          <w:rFonts w:cs="Arial"/>
          <w:szCs w:val="20"/>
        </w:rPr>
      </w:pPr>
      <w:bookmarkStart w:id="81" w:name="_Toc169624714"/>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18</w:t>
      </w:r>
      <w:r w:rsidR="00423C23" w:rsidRPr="00382A62">
        <w:rPr>
          <w:rFonts w:cs="Arial"/>
          <w:noProof/>
          <w:szCs w:val="20"/>
        </w:rPr>
        <w:fldChar w:fldCharType="end"/>
      </w:r>
      <w:r w:rsidRPr="00382A62">
        <w:rPr>
          <w:rFonts w:cs="Arial"/>
          <w:szCs w:val="20"/>
        </w:rPr>
        <w:t xml:space="preserve"> - Periodo medio de pago</w:t>
      </w:r>
      <w:bookmarkEnd w:id="81"/>
    </w:p>
    <w:tbl>
      <w:tblPr>
        <w:tblW w:w="10140" w:type="dxa"/>
        <w:jc w:val="center"/>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A832BE" w:rsidRPr="00382A62" w14:paraId="364A8DDD" w14:textId="77777777" w:rsidTr="00966F27">
        <w:trPr>
          <w:trHeight w:val="278"/>
          <w:jc w:val="center"/>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908C3F9" w14:textId="77777777" w:rsidR="00A832BE" w:rsidRPr="00382A62" w:rsidRDefault="00A832BE" w:rsidP="00A832B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 xml:space="preserve">Período medio de pago </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20530B90" w14:textId="77777777" w:rsidR="00A832BE" w:rsidRPr="00382A62" w:rsidRDefault="00A832BE" w:rsidP="00A832B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CEF6091" w14:textId="77777777" w:rsidR="00A832BE" w:rsidRPr="00382A62" w:rsidRDefault="00A832BE" w:rsidP="00A832B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6585890" w14:textId="77777777" w:rsidR="00A832BE" w:rsidRPr="00382A62" w:rsidRDefault="00A832BE" w:rsidP="00A832B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A832BE" w:rsidRPr="00382A62" w14:paraId="77995901" w14:textId="77777777" w:rsidTr="00966F27">
        <w:trPr>
          <w:trHeight w:val="280"/>
          <w:jc w:val="center"/>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6531335F" w14:textId="77777777" w:rsidR="00A832BE" w:rsidRPr="00382A62" w:rsidRDefault="00A832BE" w:rsidP="00A832BE">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2B8CA66B" w14:textId="77777777" w:rsidR="00A832BE" w:rsidRPr="00382A62" w:rsidRDefault="00A832BE" w:rsidP="00A832B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4DD927B8" w14:textId="77777777" w:rsidR="00A832BE" w:rsidRPr="00382A62" w:rsidRDefault="00A832BE" w:rsidP="00A832B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1ED5974F" w14:textId="77777777" w:rsidR="00A832BE" w:rsidRPr="00382A62" w:rsidRDefault="00A832BE" w:rsidP="00A832B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031A86E6" w14:textId="77777777" w:rsidR="00A832BE" w:rsidRPr="00382A62" w:rsidRDefault="00A832BE" w:rsidP="00A832BE">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2BB5C6D3" w14:textId="77777777" w:rsidR="00A832BE" w:rsidRPr="00382A62" w:rsidRDefault="00A832BE" w:rsidP="00A832BE">
            <w:pPr>
              <w:spacing w:after="0" w:line="240" w:lineRule="auto"/>
              <w:jc w:val="left"/>
              <w:rPr>
                <w:rFonts w:eastAsia="Times New Roman" w:cs="Arial"/>
                <w:b/>
                <w:bCs/>
                <w:color w:val="000000"/>
                <w:szCs w:val="20"/>
                <w:lang w:val="es-419" w:eastAsia="es-419"/>
              </w:rPr>
            </w:pPr>
          </w:p>
        </w:tc>
      </w:tr>
      <w:tr w:rsidR="00A832BE" w:rsidRPr="00382A62" w14:paraId="086993FD" w14:textId="77777777" w:rsidTr="00966F27">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50F86FBA" w14:textId="77777777" w:rsidR="00A832BE" w:rsidRPr="00382A62" w:rsidRDefault="00A832BE" w:rsidP="00A832BE">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Cuentas por pagar por 365 días</w:t>
            </w:r>
          </w:p>
        </w:tc>
        <w:tc>
          <w:tcPr>
            <w:tcW w:w="1322" w:type="dxa"/>
            <w:tcBorders>
              <w:top w:val="nil"/>
              <w:left w:val="nil"/>
              <w:bottom w:val="single" w:sz="4" w:space="0" w:color="A6A6A6"/>
              <w:right w:val="single" w:sz="4" w:space="0" w:color="A6A6A6"/>
            </w:tcBorders>
            <w:shd w:val="clear" w:color="auto" w:fill="auto"/>
            <w:noWrap/>
            <w:vAlign w:val="bottom"/>
            <w:hideMark/>
          </w:tcPr>
          <w:p w14:paraId="65E30FDB"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25,376,260 </w:t>
            </w:r>
          </w:p>
        </w:tc>
        <w:tc>
          <w:tcPr>
            <w:tcW w:w="1322" w:type="dxa"/>
            <w:tcBorders>
              <w:top w:val="nil"/>
              <w:left w:val="nil"/>
              <w:bottom w:val="single" w:sz="4" w:space="0" w:color="A6A6A6"/>
              <w:right w:val="single" w:sz="4" w:space="0" w:color="A6A6A6"/>
            </w:tcBorders>
            <w:shd w:val="clear" w:color="auto" w:fill="auto"/>
            <w:noWrap/>
            <w:vAlign w:val="bottom"/>
            <w:hideMark/>
          </w:tcPr>
          <w:p w14:paraId="52E423DE"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28,748,130 </w:t>
            </w:r>
          </w:p>
        </w:tc>
        <w:tc>
          <w:tcPr>
            <w:tcW w:w="1376" w:type="dxa"/>
            <w:tcBorders>
              <w:top w:val="nil"/>
              <w:left w:val="nil"/>
              <w:bottom w:val="single" w:sz="4" w:space="0" w:color="A6A6A6"/>
              <w:right w:val="single" w:sz="4" w:space="0" w:color="A6A6A6"/>
            </w:tcBorders>
            <w:shd w:val="clear" w:color="auto" w:fill="auto"/>
            <w:noWrap/>
            <w:vAlign w:val="bottom"/>
            <w:hideMark/>
          </w:tcPr>
          <w:p w14:paraId="1540D74A"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22,404,430 </w:t>
            </w:r>
          </w:p>
        </w:tc>
        <w:tc>
          <w:tcPr>
            <w:tcW w:w="1260" w:type="dxa"/>
            <w:tcBorders>
              <w:top w:val="nil"/>
              <w:left w:val="nil"/>
              <w:bottom w:val="single" w:sz="4" w:space="0" w:color="A6A6A6"/>
              <w:right w:val="single" w:sz="4" w:space="0" w:color="A6A6A6"/>
            </w:tcBorders>
            <w:shd w:val="clear" w:color="auto" w:fill="auto"/>
            <w:noWrap/>
            <w:vAlign w:val="bottom"/>
            <w:hideMark/>
          </w:tcPr>
          <w:p w14:paraId="738FEAFA"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6,343,700 </w:t>
            </w:r>
          </w:p>
        </w:tc>
        <w:tc>
          <w:tcPr>
            <w:tcW w:w="1260" w:type="dxa"/>
            <w:tcBorders>
              <w:top w:val="nil"/>
              <w:left w:val="nil"/>
              <w:bottom w:val="single" w:sz="4" w:space="0" w:color="A6A6A6"/>
              <w:right w:val="single" w:sz="4" w:space="0" w:color="A6A6A6"/>
            </w:tcBorders>
            <w:shd w:val="clear" w:color="auto" w:fill="auto"/>
            <w:noWrap/>
            <w:vAlign w:val="bottom"/>
            <w:hideMark/>
          </w:tcPr>
          <w:p w14:paraId="73366264"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-22.1%</w:t>
            </w:r>
          </w:p>
        </w:tc>
      </w:tr>
      <w:tr w:rsidR="00A832BE" w:rsidRPr="00382A62" w14:paraId="0B9CFB10" w14:textId="77777777" w:rsidTr="00966F27">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555EF58D" w14:textId="77777777" w:rsidR="00A832BE" w:rsidRPr="00382A62" w:rsidRDefault="00A832BE" w:rsidP="00A832BE">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Costo de las Ventas</w:t>
            </w:r>
          </w:p>
        </w:tc>
        <w:tc>
          <w:tcPr>
            <w:tcW w:w="1322" w:type="dxa"/>
            <w:tcBorders>
              <w:top w:val="nil"/>
              <w:left w:val="nil"/>
              <w:bottom w:val="single" w:sz="4" w:space="0" w:color="A6A6A6"/>
              <w:right w:val="single" w:sz="4" w:space="0" w:color="A6A6A6"/>
            </w:tcBorders>
            <w:shd w:val="clear" w:color="auto" w:fill="auto"/>
            <w:noWrap/>
            <w:vAlign w:val="bottom"/>
            <w:hideMark/>
          </w:tcPr>
          <w:p w14:paraId="36FEF53E"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406,346 </w:t>
            </w:r>
          </w:p>
        </w:tc>
        <w:tc>
          <w:tcPr>
            <w:tcW w:w="1322" w:type="dxa"/>
            <w:tcBorders>
              <w:top w:val="nil"/>
              <w:left w:val="nil"/>
              <w:bottom w:val="single" w:sz="4" w:space="0" w:color="A6A6A6"/>
              <w:right w:val="single" w:sz="4" w:space="0" w:color="A6A6A6"/>
            </w:tcBorders>
            <w:shd w:val="clear" w:color="auto" w:fill="auto"/>
            <w:noWrap/>
            <w:vAlign w:val="bottom"/>
            <w:hideMark/>
          </w:tcPr>
          <w:p w14:paraId="6E132F40"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469,414 </w:t>
            </w:r>
          </w:p>
        </w:tc>
        <w:tc>
          <w:tcPr>
            <w:tcW w:w="1376" w:type="dxa"/>
            <w:tcBorders>
              <w:top w:val="nil"/>
              <w:left w:val="nil"/>
              <w:bottom w:val="single" w:sz="4" w:space="0" w:color="A6A6A6"/>
              <w:right w:val="single" w:sz="4" w:space="0" w:color="A6A6A6"/>
            </w:tcBorders>
            <w:shd w:val="clear" w:color="auto" w:fill="auto"/>
            <w:noWrap/>
            <w:vAlign w:val="bottom"/>
            <w:hideMark/>
          </w:tcPr>
          <w:p w14:paraId="7108A162"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425,606 </w:t>
            </w:r>
          </w:p>
        </w:tc>
        <w:tc>
          <w:tcPr>
            <w:tcW w:w="1260" w:type="dxa"/>
            <w:tcBorders>
              <w:top w:val="nil"/>
              <w:left w:val="nil"/>
              <w:bottom w:val="single" w:sz="4" w:space="0" w:color="A6A6A6"/>
              <w:right w:val="single" w:sz="4" w:space="0" w:color="A6A6A6"/>
            </w:tcBorders>
            <w:shd w:val="clear" w:color="auto" w:fill="auto"/>
            <w:noWrap/>
            <w:vAlign w:val="bottom"/>
            <w:hideMark/>
          </w:tcPr>
          <w:p w14:paraId="7324259C"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43,808 </w:t>
            </w:r>
          </w:p>
        </w:tc>
        <w:tc>
          <w:tcPr>
            <w:tcW w:w="1260" w:type="dxa"/>
            <w:tcBorders>
              <w:top w:val="nil"/>
              <w:left w:val="nil"/>
              <w:bottom w:val="single" w:sz="4" w:space="0" w:color="A6A6A6"/>
              <w:right w:val="single" w:sz="4" w:space="0" w:color="A6A6A6"/>
            </w:tcBorders>
            <w:shd w:val="clear" w:color="auto" w:fill="auto"/>
            <w:noWrap/>
            <w:vAlign w:val="bottom"/>
            <w:hideMark/>
          </w:tcPr>
          <w:p w14:paraId="4CC3B8FF"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-9.3%</w:t>
            </w:r>
          </w:p>
        </w:tc>
      </w:tr>
      <w:tr w:rsidR="00A832BE" w:rsidRPr="00382A62" w14:paraId="37BC6A6B" w14:textId="77777777" w:rsidTr="00966F27">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205841EC" w14:textId="77777777" w:rsidR="00A832BE" w:rsidRPr="00382A62" w:rsidRDefault="00A832BE" w:rsidP="00A832BE">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Período medio de pago (días)</w:t>
            </w:r>
          </w:p>
        </w:tc>
        <w:tc>
          <w:tcPr>
            <w:tcW w:w="1322" w:type="dxa"/>
            <w:tcBorders>
              <w:top w:val="nil"/>
              <w:left w:val="nil"/>
              <w:bottom w:val="single" w:sz="4" w:space="0" w:color="A6A6A6"/>
              <w:right w:val="single" w:sz="4" w:space="0" w:color="A6A6A6"/>
            </w:tcBorders>
            <w:shd w:val="clear" w:color="auto" w:fill="auto"/>
            <w:noWrap/>
            <w:vAlign w:val="bottom"/>
            <w:hideMark/>
          </w:tcPr>
          <w:p w14:paraId="74E5BB8B"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62 </w:t>
            </w:r>
          </w:p>
        </w:tc>
        <w:tc>
          <w:tcPr>
            <w:tcW w:w="1322" w:type="dxa"/>
            <w:tcBorders>
              <w:top w:val="nil"/>
              <w:left w:val="nil"/>
              <w:bottom w:val="single" w:sz="4" w:space="0" w:color="A6A6A6"/>
              <w:right w:val="single" w:sz="4" w:space="0" w:color="A6A6A6"/>
            </w:tcBorders>
            <w:shd w:val="clear" w:color="auto" w:fill="auto"/>
            <w:noWrap/>
            <w:vAlign w:val="bottom"/>
            <w:hideMark/>
          </w:tcPr>
          <w:p w14:paraId="2C58C845"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61 </w:t>
            </w:r>
          </w:p>
        </w:tc>
        <w:tc>
          <w:tcPr>
            <w:tcW w:w="1376" w:type="dxa"/>
            <w:tcBorders>
              <w:top w:val="nil"/>
              <w:left w:val="nil"/>
              <w:bottom w:val="single" w:sz="4" w:space="0" w:color="A6A6A6"/>
              <w:right w:val="single" w:sz="4" w:space="0" w:color="A6A6A6"/>
            </w:tcBorders>
            <w:shd w:val="clear" w:color="auto" w:fill="auto"/>
            <w:noWrap/>
            <w:vAlign w:val="bottom"/>
            <w:hideMark/>
          </w:tcPr>
          <w:p w14:paraId="6507D3CF"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53 </w:t>
            </w:r>
          </w:p>
        </w:tc>
        <w:tc>
          <w:tcPr>
            <w:tcW w:w="1260" w:type="dxa"/>
            <w:tcBorders>
              <w:top w:val="nil"/>
              <w:left w:val="nil"/>
              <w:bottom w:val="single" w:sz="4" w:space="0" w:color="A6A6A6"/>
              <w:right w:val="single" w:sz="4" w:space="0" w:color="A6A6A6"/>
            </w:tcBorders>
            <w:shd w:val="clear" w:color="auto" w:fill="auto"/>
            <w:noWrap/>
            <w:vAlign w:val="bottom"/>
            <w:hideMark/>
          </w:tcPr>
          <w:p w14:paraId="785596BE"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 </w:t>
            </w:r>
          </w:p>
        </w:tc>
        <w:tc>
          <w:tcPr>
            <w:tcW w:w="1260" w:type="dxa"/>
            <w:tcBorders>
              <w:top w:val="nil"/>
              <w:left w:val="nil"/>
              <w:bottom w:val="single" w:sz="4" w:space="0" w:color="A6A6A6"/>
              <w:right w:val="single" w:sz="4" w:space="0" w:color="A6A6A6"/>
            </w:tcBorders>
            <w:shd w:val="clear" w:color="auto" w:fill="auto"/>
            <w:noWrap/>
            <w:vAlign w:val="bottom"/>
            <w:hideMark/>
          </w:tcPr>
          <w:p w14:paraId="06850278"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-14.0%</w:t>
            </w:r>
          </w:p>
        </w:tc>
      </w:tr>
    </w:tbl>
    <w:p w14:paraId="4E19FAF1" w14:textId="77777777" w:rsidR="007605E6" w:rsidRPr="00382A62" w:rsidRDefault="007605E6" w:rsidP="007605E6">
      <w:pPr>
        <w:jc w:val="center"/>
        <w:rPr>
          <w:rFonts w:cs="Arial"/>
          <w:szCs w:val="20"/>
        </w:rPr>
      </w:pPr>
    </w:p>
    <w:p w14:paraId="55BCBBAD" w14:textId="484C6DC1" w:rsidR="007605E6" w:rsidRPr="00382A62" w:rsidRDefault="007605E6" w:rsidP="007605E6">
      <w:pPr>
        <w:rPr>
          <w:rFonts w:cs="Arial"/>
          <w:szCs w:val="20"/>
        </w:rPr>
      </w:pPr>
      <w:r w:rsidRPr="00382A62">
        <w:rPr>
          <w:rFonts w:cs="Arial"/>
          <w:szCs w:val="20"/>
        </w:rPr>
        <w:t>Para el período 202</w:t>
      </w:r>
      <w:r w:rsidR="00A54256" w:rsidRPr="00382A62">
        <w:rPr>
          <w:rFonts w:cs="Arial"/>
          <w:szCs w:val="20"/>
        </w:rPr>
        <w:t>3</w:t>
      </w:r>
      <w:r w:rsidRPr="00382A62">
        <w:rPr>
          <w:rFonts w:cs="Arial"/>
          <w:szCs w:val="20"/>
        </w:rPr>
        <w:t xml:space="preserve">, este indicador tuvo una disminución de </w:t>
      </w:r>
      <w:r w:rsidR="00A54256" w:rsidRPr="00382A62">
        <w:rPr>
          <w:rFonts w:cs="Arial"/>
          <w:szCs w:val="20"/>
        </w:rPr>
        <w:t>9</w:t>
      </w:r>
      <w:r w:rsidRPr="00382A62">
        <w:rPr>
          <w:rFonts w:cs="Arial"/>
          <w:szCs w:val="20"/>
        </w:rPr>
        <w:t xml:space="preserve"> día</w:t>
      </w:r>
      <w:r w:rsidR="00A54256" w:rsidRPr="00382A62">
        <w:rPr>
          <w:rFonts w:cs="Arial"/>
          <w:szCs w:val="20"/>
        </w:rPr>
        <w:t>s</w:t>
      </w:r>
      <w:r w:rsidRPr="00382A62">
        <w:rPr>
          <w:rFonts w:cs="Arial"/>
          <w:szCs w:val="20"/>
        </w:rPr>
        <w:t xml:space="preserve">, alcanzando </w:t>
      </w:r>
      <w:r w:rsidR="00A54256" w:rsidRPr="00382A62">
        <w:rPr>
          <w:rFonts w:cs="Arial"/>
          <w:szCs w:val="20"/>
        </w:rPr>
        <w:t>53</w:t>
      </w:r>
      <w:r w:rsidRPr="00382A62">
        <w:rPr>
          <w:rFonts w:cs="Arial"/>
          <w:szCs w:val="20"/>
        </w:rPr>
        <w:t xml:space="preserve"> días promedio para hacer efectivo el pago a los proveedores, tanto nacionales como del exterior. La Compañía se mantiene en constante negociación para obtener plazos de crédito favorables manteniendo una cartera saludable y una gestión activa de pagos.</w:t>
      </w:r>
    </w:p>
    <w:p w14:paraId="4478CAAB" w14:textId="77777777" w:rsidR="007605E6" w:rsidRPr="00382A62" w:rsidRDefault="007605E6" w:rsidP="007605E6">
      <w:pPr>
        <w:pStyle w:val="Prrafodelista"/>
        <w:numPr>
          <w:ilvl w:val="0"/>
          <w:numId w:val="21"/>
        </w:numPr>
        <w:rPr>
          <w:rFonts w:cs="Arial"/>
          <w:b/>
          <w:bCs/>
          <w:szCs w:val="20"/>
        </w:rPr>
      </w:pPr>
      <w:r w:rsidRPr="00382A62">
        <w:rPr>
          <w:rFonts w:cs="Arial"/>
          <w:b/>
          <w:bCs/>
          <w:szCs w:val="20"/>
        </w:rPr>
        <w:t>Días de Inventario</w:t>
      </w:r>
    </w:p>
    <w:p w14:paraId="6903CE65" w14:textId="77777777" w:rsidR="007605E6" w:rsidRPr="00382A62" w:rsidRDefault="007605E6" w:rsidP="007605E6">
      <w:pPr>
        <w:rPr>
          <w:rFonts w:cs="Arial"/>
          <w:szCs w:val="20"/>
        </w:rPr>
      </w:pPr>
      <w:r w:rsidRPr="00382A62">
        <w:rPr>
          <w:rFonts w:cs="Arial"/>
          <w:szCs w:val="20"/>
        </w:rPr>
        <w:t>El cálculo de esta razón corresponde a tomar el saldo del inventario total y se divide entre el costo de mercadería vendida diario. El resultado se interpreta como el número de días ventas que la empresa tiene en existencias para cubrir el mercado en caso de que no haya producción.</w:t>
      </w:r>
    </w:p>
    <w:p w14:paraId="65E602B4" w14:textId="7CC2F86E" w:rsidR="007605E6" w:rsidRPr="00382A62" w:rsidRDefault="007605E6" w:rsidP="007605E6">
      <w:pPr>
        <w:pStyle w:val="Descripcin"/>
        <w:rPr>
          <w:rFonts w:cs="Arial"/>
          <w:szCs w:val="20"/>
        </w:rPr>
      </w:pPr>
      <w:bookmarkStart w:id="82" w:name="_Toc169624715"/>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19</w:t>
      </w:r>
      <w:r w:rsidR="00423C23" w:rsidRPr="00382A62">
        <w:rPr>
          <w:rFonts w:cs="Arial"/>
          <w:noProof/>
          <w:szCs w:val="20"/>
        </w:rPr>
        <w:fldChar w:fldCharType="end"/>
      </w:r>
      <w:r w:rsidRPr="00382A62">
        <w:rPr>
          <w:rFonts w:cs="Arial"/>
          <w:szCs w:val="20"/>
        </w:rPr>
        <w:t xml:space="preserve"> - Días de Inventario</w:t>
      </w:r>
      <w:bookmarkEnd w:id="82"/>
    </w:p>
    <w:tbl>
      <w:tblPr>
        <w:tblW w:w="10140" w:type="dxa"/>
        <w:jc w:val="center"/>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025F10" w:rsidRPr="00382A62" w14:paraId="08EC7255" w14:textId="77777777" w:rsidTr="00025F10">
        <w:trPr>
          <w:trHeight w:val="280"/>
          <w:jc w:val="center"/>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35F0F1C" w14:textId="77777777" w:rsidR="00025F10" w:rsidRPr="00382A62" w:rsidRDefault="00025F10" w:rsidP="00025F10">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Días de Inventario</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60D38647" w14:textId="77777777" w:rsidR="00025F10" w:rsidRPr="00382A62" w:rsidRDefault="00025F10" w:rsidP="00025F10">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DD33B38" w14:textId="77777777" w:rsidR="00025F10" w:rsidRPr="00382A62" w:rsidRDefault="00025F10" w:rsidP="00025F10">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B939CA0" w14:textId="77777777" w:rsidR="00025F10" w:rsidRPr="00382A62" w:rsidRDefault="00025F10" w:rsidP="00025F10">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025F10" w:rsidRPr="00382A62" w14:paraId="215F80C3" w14:textId="77777777" w:rsidTr="00025F10">
        <w:trPr>
          <w:trHeight w:val="280"/>
          <w:jc w:val="center"/>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71EACFF0" w14:textId="77777777" w:rsidR="00025F10" w:rsidRPr="00382A62" w:rsidRDefault="00025F10" w:rsidP="00025F10">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583818B5" w14:textId="77777777" w:rsidR="00025F10" w:rsidRPr="00382A62" w:rsidRDefault="00025F10" w:rsidP="00025F10">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7B18AE98" w14:textId="77777777" w:rsidR="00025F10" w:rsidRPr="00382A62" w:rsidRDefault="00025F10" w:rsidP="00025F10">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7CEEEB0F" w14:textId="77777777" w:rsidR="00025F10" w:rsidRPr="00382A62" w:rsidRDefault="00025F10" w:rsidP="00025F10">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74BCA9BD" w14:textId="77777777" w:rsidR="00025F10" w:rsidRPr="00382A62" w:rsidRDefault="00025F10" w:rsidP="00025F10">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04C8AB47" w14:textId="77777777" w:rsidR="00025F10" w:rsidRPr="00382A62" w:rsidRDefault="00025F10" w:rsidP="00025F10">
            <w:pPr>
              <w:spacing w:after="0" w:line="240" w:lineRule="auto"/>
              <w:jc w:val="left"/>
              <w:rPr>
                <w:rFonts w:eastAsia="Times New Roman" w:cs="Arial"/>
                <w:b/>
                <w:bCs/>
                <w:color w:val="000000"/>
                <w:szCs w:val="20"/>
                <w:lang w:val="es-419" w:eastAsia="es-419"/>
              </w:rPr>
            </w:pPr>
          </w:p>
        </w:tc>
      </w:tr>
      <w:tr w:rsidR="00025F10" w:rsidRPr="00382A62" w14:paraId="4856BD4D" w14:textId="77777777" w:rsidTr="00025F10">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67DB74A1" w14:textId="77777777" w:rsidR="00025F10" w:rsidRPr="00382A62" w:rsidRDefault="00025F10" w:rsidP="00025F10">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Inventario</w:t>
            </w:r>
          </w:p>
        </w:tc>
        <w:tc>
          <w:tcPr>
            <w:tcW w:w="1322" w:type="dxa"/>
            <w:tcBorders>
              <w:top w:val="nil"/>
              <w:left w:val="nil"/>
              <w:bottom w:val="single" w:sz="4" w:space="0" w:color="A6A6A6"/>
              <w:right w:val="single" w:sz="4" w:space="0" w:color="A6A6A6"/>
            </w:tcBorders>
            <w:shd w:val="clear" w:color="auto" w:fill="auto"/>
            <w:noWrap/>
            <w:vAlign w:val="bottom"/>
            <w:hideMark/>
          </w:tcPr>
          <w:p w14:paraId="691642BE"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85,736 </w:t>
            </w:r>
          </w:p>
        </w:tc>
        <w:tc>
          <w:tcPr>
            <w:tcW w:w="1322" w:type="dxa"/>
            <w:tcBorders>
              <w:top w:val="nil"/>
              <w:left w:val="nil"/>
              <w:bottom w:val="single" w:sz="4" w:space="0" w:color="A6A6A6"/>
              <w:right w:val="single" w:sz="4" w:space="0" w:color="A6A6A6"/>
            </w:tcBorders>
            <w:shd w:val="clear" w:color="auto" w:fill="auto"/>
            <w:noWrap/>
            <w:vAlign w:val="bottom"/>
            <w:hideMark/>
          </w:tcPr>
          <w:p w14:paraId="160B4F57"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119,334 </w:t>
            </w:r>
          </w:p>
        </w:tc>
        <w:tc>
          <w:tcPr>
            <w:tcW w:w="1376" w:type="dxa"/>
            <w:tcBorders>
              <w:top w:val="nil"/>
              <w:left w:val="nil"/>
              <w:bottom w:val="single" w:sz="4" w:space="0" w:color="A6A6A6"/>
              <w:right w:val="single" w:sz="4" w:space="0" w:color="A6A6A6"/>
            </w:tcBorders>
            <w:shd w:val="clear" w:color="auto" w:fill="auto"/>
            <w:noWrap/>
            <w:vAlign w:val="bottom"/>
            <w:hideMark/>
          </w:tcPr>
          <w:p w14:paraId="4AEF67B0"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84,861 </w:t>
            </w:r>
          </w:p>
        </w:tc>
        <w:tc>
          <w:tcPr>
            <w:tcW w:w="1260" w:type="dxa"/>
            <w:tcBorders>
              <w:top w:val="nil"/>
              <w:left w:val="nil"/>
              <w:bottom w:val="single" w:sz="4" w:space="0" w:color="A6A6A6"/>
              <w:right w:val="single" w:sz="4" w:space="0" w:color="A6A6A6"/>
            </w:tcBorders>
            <w:shd w:val="clear" w:color="auto" w:fill="auto"/>
            <w:noWrap/>
            <w:vAlign w:val="bottom"/>
            <w:hideMark/>
          </w:tcPr>
          <w:p w14:paraId="5D69B5C9"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34,473 </w:t>
            </w:r>
          </w:p>
        </w:tc>
        <w:tc>
          <w:tcPr>
            <w:tcW w:w="1260" w:type="dxa"/>
            <w:tcBorders>
              <w:top w:val="nil"/>
              <w:left w:val="nil"/>
              <w:bottom w:val="single" w:sz="4" w:space="0" w:color="A6A6A6"/>
              <w:right w:val="single" w:sz="4" w:space="0" w:color="A6A6A6"/>
            </w:tcBorders>
            <w:shd w:val="clear" w:color="auto" w:fill="auto"/>
            <w:noWrap/>
            <w:vAlign w:val="bottom"/>
            <w:hideMark/>
          </w:tcPr>
          <w:p w14:paraId="3B6FBA9C"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-28.9%</w:t>
            </w:r>
          </w:p>
        </w:tc>
      </w:tr>
      <w:tr w:rsidR="00025F10" w:rsidRPr="00382A62" w14:paraId="494021B5" w14:textId="77777777" w:rsidTr="00025F10">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42A90984" w14:textId="77777777" w:rsidR="00025F10" w:rsidRPr="00382A62" w:rsidRDefault="00025F10" w:rsidP="00025F10">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Costo de ventas entre 365 días</w:t>
            </w:r>
          </w:p>
        </w:tc>
        <w:tc>
          <w:tcPr>
            <w:tcW w:w="1322" w:type="dxa"/>
            <w:tcBorders>
              <w:top w:val="nil"/>
              <w:left w:val="nil"/>
              <w:bottom w:val="single" w:sz="4" w:space="0" w:color="A6A6A6"/>
              <w:right w:val="single" w:sz="4" w:space="0" w:color="A6A6A6"/>
            </w:tcBorders>
            <w:shd w:val="clear" w:color="auto" w:fill="auto"/>
            <w:noWrap/>
            <w:vAlign w:val="bottom"/>
            <w:hideMark/>
          </w:tcPr>
          <w:p w14:paraId="69DEDEEC"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1,113 </w:t>
            </w:r>
          </w:p>
        </w:tc>
        <w:tc>
          <w:tcPr>
            <w:tcW w:w="1322" w:type="dxa"/>
            <w:tcBorders>
              <w:top w:val="nil"/>
              <w:left w:val="nil"/>
              <w:bottom w:val="single" w:sz="4" w:space="0" w:color="A6A6A6"/>
              <w:right w:val="single" w:sz="4" w:space="0" w:color="A6A6A6"/>
            </w:tcBorders>
            <w:shd w:val="clear" w:color="auto" w:fill="auto"/>
            <w:noWrap/>
            <w:vAlign w:val="bottom"/>
            <w:hideMark/>
          </w:tcPr>
          <w:p w14:paraId="261AF900"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1,286 </w:t>
            </w:r>
          </w:p>
        </w:tc>
        <w:tc>
          <w:tcPr>
            <w:tcW w:w="1376" w:type="dxa"/>
            <w:tcBorders>
              <w:top w:val="nil"/>
              <w:left w:val="nil"/>
              <w:bottom w:val="single" w:sz="4" w:space="0" w:color="A6A6A6"/>
              <w:right w:val="single" w:sz="4" w:space="0" w:color="A6A6A6"/>
            </w:tcBorders>
            <w:shd w:val="clear" w:color="auto" w:fill="auto"/>
            <w:noWrap/>
            <w:vAlign w:val="bottom"/>
            <w:hideMark/>
          </w:tcPr>
          <w:p w14:paraId="73CF32BD"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1,166 </w:t>
            </w:r>
          </w:p>
        </w:tc>
        <w:tc>
          <w:tcPr>
            <w:tcW w:w="1260" w:type="dxa"/>
            <w:tcBorders>
              <w:top w:val="nil"/>
              <w:left w:val="nil"/>
              <w:bottom w:val="single" w:sz="4" w:space="0" w:color="A6A6A6"/>
              <w:right w:val="single" w:sz="4" w:space="0" w:color="A6A6A6"/>
            </w:tcBorders>
            <w:shd w:val="clear" w:color="auto" w:fill="auto"/>
            <w:noWrap/>
            <w:vAlign w:val="bottom"/>
            <w:hideMark/>
          </w:tcPr>
          <w:p w14:paraId="6EDA7046"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120 </w:t>
            </w:r>
          </w:p>
        </w:tc>
        <w:tc>
          <w:tcPr>
            <w:tcW w:w="1260" w:type="dxa"/>
            <w:tcBorders>
              <w:top w:val="nil"/>
              <w:left w:val="nil"/>
              <w:bottom w:val="single" w:sz="4" w:space="0" w:color="A6A6A6"/>
              <w:right w:val="single" w:sz="4" w:space="0" w:color="A6A6A6"/>
            </w:tcBorders>
            <w:shd w:val="clear" w:color="auto" w:fill="auto"/>
            <w:noWrap/>
            <w:vAlign w:val="bottom"/>
            <w:hideMark/>
          </w:tcPr>
          <w:p w14:paraId="4D1211C2"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-9.3%</w:t>
            </w:r>
          </w:p>
        </w:tc>
      </w:tr>
      <w:tr w:rsidR="00025F10" w:rsidRPr="00382A62" w14:paraId="0AA45155" w14:textId="77777777" w:rsidTr="00025F10">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3C59FB9D" w14:textId="77777777" w:rsidR="00025F10" w:rsidRPr="00382A62" w:rsidRDefault="00025F10" w:rsidP="00025F10">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Días de Inventario</w:t>
            </w:r>
          </w:p>
        </w:tc>
        <w:tc>
          <w:tcPr>
            <w:tcW w:w="1322" w:type="dxa"/>
            <w:tcBorders>
              <w:top w:val="nil"/>
              <w:left w:val="nil"/>
              <w:bottom w:val="single" w:sz="4" w:space="0" w:color="A6A6A6"/>
              <w:right w:val="single" w:sz="4" w:space="0" w:color="A6A6A6"/>
            </w:tcBorders>
            <w:shd w:val="clear" w:color="auto" w:fill="auto"/>
            <w:noWrap/>
            <w:vAlign w:val="bottom"/>
            <w:hideMark/>
          </w:tcPr>
          <w:p w14:paraId="63168E39"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77 </w:t>
            </w:r>
          </w:p>
        </w:tc>
        <w:tc>
          <w:tcPr>
            <w:tcW w:w="1322" w:type="dxa"/>
            <w:tcBorders>
              <w:top w:val="nil"/>
              <w:left w:val="nil"/>
              <w:bottom w:val="single" w:sz="4" w:space="0" w:color="A6A6A6"/>
              <w:right w:val="single" w:sz="4" w:space="0" w:color="A6A6A6"/>
            </w:tcBorders>
            <w:shd w:val="clear" w:color="auto" w:fill="auto"/>
            <w:noWrap/>
            <w:vAlign w:val="bottom"/>
            <w:hideMark/>
          </w:tcPr>
          <w:p w14:paraId="735B18E4"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93 </w:t>
            </w:r>
          </w:p>
        </w:tc>
        <w:tc>
          <w:tcPr>
            <w:tcW w:w="1376" w:type="dxa"/>
            <w:tcBorders>
              <w:top w:val="nil"/>
              <w:left w:val="nil"/>
              <w:bottom w:val="single" w:sz="4" w:space="0" w:color="A6A6A6"/>
              <w:right w:val="single" w:sz="4" w:space="0" w:color="A6A6A6"/>
            </w:tcBorders>
            <w:shd w:val="clear" w:color="auto" w:fill="auto"/>
            <w:noWrap/>
            <w:vAlign w:val="bottom"/>
            <w:hideMark/>
          </w:tcPr>
          <w:p w14:paraId="08D6CA28"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73 </w:t>
            </w:r>
          </w:p>
        </w:tc>
        <w:tc>
          <w:tcPr>
            <w:tcW w:w="1260" w:type="dxa"/>
            <w:tcBorders>
              <w:top w:val="nil"/>
              <w:left w:val="nil"/>
              <w:bottom w:val="single" w:sz="4" w:space="0" w:color="A6A6A6"/>
              <w:right w:val="single" w:sz="4" w:space="0" w:color="A6A6A6"/>
            </w:tcBorders>
            <w:shd w:val="clear" w:color="auto" w:fill="auto"/>
            <w:noWrap/>
            <w:vAlign w:val="bottom"/>
            <w:hideMark/>
          </w:tcPr>
          <w:p w14:paraId="33162697"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20 </w:t>
            </w:r>
          </w:p>
        </w:tc>
        <w:tc>
          <w:tcPr>
            <w:tcW w:w="1260" w:type="dxa"/>
            <w:tcBorders>
              <w:top w:val="nil"/>
              <w:left w:val="nil"/>
              <w:bottom w:val="single" w:sz="4" w:space="0" w:color="A6A6A6"/>
              <w:right w:val="single" w:sz="4" w:space="0" w:color="A6A6A6"/>
            </w:tcBorders>
            <w:shd w:val="clear" w:color="auto" w:fill="auto"/>
            <w:noWrap/>
            <w:vAlign w:val="bottom"/>
            <w:hideMark/>
          </w:tcPr>
          <w:p w14:paraId="73D34253"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-21.6%</w:t>
            </w:r>
          </w:p>
        </w:tc>
      </w:tr>
    </w:tbl>
    <w:p w14:paraId="64050706" w14:textId="77777777" w:rsidR="007605E6" w:rsidRPr="00382A62" w:rsidRDefault="007605E6" w:rsidP="007605E6">
      <w:pPr>
        <w:jc w:val="center"/>
        <w:rPr>
          <w:rFonts w:cs="Arial"/>
          <w:szCs w:val="20"/>
        </w:rPr>
      </w:pPr>
    </w:p>
    <w:p w14:paraId="2FEB629F" w14:textId="5971FF84" w:rsidR="007605E6" w:rsidRPr="00382A62" w:rsidRDefault="007605E6" w:rsidP="007605E6">
      <w:pPr>
        <w:rPr>
          <w:rFonts w:cs="Arial"/>
          <w:szCs w:val="20"/>
        </w:rPr>
      </w:pPr>
      <w:r w:rsidRPr="00382A62">
        <w:rPr>
          <w:rFonts w:cs="Arial"/>
          <w:szCs w:val="20"/>
        </w:rPr>
        <w:t>Para el 202</w:t>
      </w:r>
      <w:r w:rsidR="001C0F66" w:rsidRPr="00382A62">
        <w:rPr>
          <w:rFonts w:cs="Arial"/>
          <w:szCs w:val="20"/>
        </w:rPr>
        <w:t>3</w:t>
      </w:r>
      <w:r w:rsidRPr="00382A62">
        <w:rPr>
          <w:rFonts w:cs="Arial"/>
          <w:szCs w:val="20"/>
        </w:rPr>
        <w:t xml:space="preserve">, este indicador presenta </w:t>
      </w:r>
      <w:r w:rsidR="001A196C" w:rsidRPr="00382A62">
        <w:rPr>
          <w:rFonts w:cs="Arial"/>
          <w:szCs w:val="20"/>
        </w:rPr>
        <w:t>una disminución</w:t>
      </w:r>
      <w:r w:rsidRPr="00382A62">
        <w:rPr>
          <w:rFonts w:cs="Arial"/>
          <w:szCs w:val="20"/>
        </w:rPr>
        <w:t xml:space="preserve"> de </w:t>
      </w:r>
      <w:r w:rsidR="001A196C" w:rsidRPr="00382A62">
        <w:rPr>
          <w:rFonts w:cs="Arial"/>
          <w:szCs w:val="20"/>
        </w:rPr>
        <w:t>20</w:t>
      </w:r>
      <w:r w:rsidRPr="00382A62">
        <w:rPr>
          <w:rFonts w:cs="Arial"/>
          <w:szCs w:val="20"/>
        </w:rPr>
        <w:t xml:space="preserve"> días respecto a 202</w:t>
      </w:r>
      <w:r w:rsidR="001A196C" w:rsidRPr="00382A62">
        <w:rPr>
          <w:rFonts w:cs="Arial"/>
          <w:szCs w:val="20"/>
        </w:rPr>
        <w:t>2</w:t>
      </w:r>
      <w:r w:rsidRPr="00382A62">
        <w:rPr>
          <w:rFonts w:cs="Arial"/>
          <w:szCs w:val="20"/>
        </w:rPr>
        <w:t xml:space="preserve">, esto se origina debido al </w:t>
      </w:r>
      <w:r w:rsidR="001C0F66" w:rsidRPr="00382A62">
        <w:rPr>
          <w:rFonts w:cs="Arial"/>
          <w:szCs w:val="20"/>
        </w:rPr>
        <w:t xml:space="preserve">normalización en el proceso de la </w:t>
      </w:r>
      <w:r w:rsidRPr="00382A62">
        <w:rPr>
          <w:rFonts w:cs="Arial"/>
          <w:szCs w:val="20"/>
        </w:rPr>
        <w:t>construcción del inventario, este inventario corresponde al stock necesario para cubrir la demanda de las actividades de fin y principio de año, así como las tradicionales fiestas que se realizan por la entrada de la estación seca.</w:t>
      </w:r>
    </w:p>
    <w:p w14:paraId="743347BF" w14:textId="77777777" w:rsidR="007605E6" w:rsidRPr="00382A62" w:rsidRDefault="007605E6" w:rsidP="007605E6">
      <w:pPr>
        <w:pStyle w:val="Prrafodelista"/>
        <w:numPr>
          <w:ilvl w:val="0"/>
          <w:numId w:val="21"/>
        </w:numPr>
        <w:rPr>
          <w:rFonts w:cs="Arial"/>
          <w:b/>
          <w:bCs/>
          <w:szCs w:val="20"/>
        </w:rPr>
      </w:pPr>
      <w:r w:rsidRPr="00382A62">
        <w:rPr>
          <w:rFonts w:cs="Arial"/>
          <w:b/>
          <w:bCs/>
          <w:szCs w:val="20"/>
        </w:rPr>
        <w:t>Rotación de Inventario</w:t>
      </w:r>
    </w:p>
    <w:p w14:paraId="6E54705B" w14:textId="77777777" w:rsidR="007605E6" w:rsidRPr="00382A62" w:rsidRDefault="007605E6" w:rsidP="007605E6">
      <w:pPr>
        <w:rPr>
          <w:rFonts w:cs="Arial"/>
          <w:szCs w:val="20"/>
        </w:rPr>
      </w:pPr>
      <w:r w:rsidRPr="00382A62">
        <w:rPr>
          <w:rFonts w:cs="Arial"/>
          <w:szCs w:val="20"/>
        </w:rPr>
        <w:t>El cálculo de esta razón corresponde a tomar el costo de mercadería vendida y dividirlo entre el inventario total. El resultado se interpreta como las veces que rota el inventario en un año.</w:t>
      </w:r>
    </w:p>
    <w:p w14:paraId="38674A92" w14:textId="0CAD2862" w:rsidR="007605E6" w:rsidRPr="00382A62" w:rsidRDefault="007605E6" w:rsidP="007605E6">
      <w:pPr>
        <w:pStyle w:val="Descripcin"/>
        <w:rPr>
          <w:rFonts w:cs="Arial"/>
          <w:szCs w:val="20"/>
        </w:rPr>
      </w:pPr>
      <w:bookmarkStart w:id="83" w:name="_Toc169624716"/>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20</w:t>
      </w:r>
      <w:r w:rsidR="00423C23" w:rsidRPr="00382A62">
        <w:rPr>
          <w:rFonts w:cs="Arial"/>
          <w:noProof/>
          <w:szCs w:val="20"/>
        </w:rPr>
        <w:fldChar w:fldCharType="end"/>
      </w:r>
      <w:r w:rsidRPr="00382A62">
        <w:rPr>
          <w:rFonts w:cs="Arial"/>
          <w:szCs w:val="20"/>
        </w:rPr>
        <w:t xml:space="preserve"> - Rotación de Inventario</w:t>
      </w:r>
      <w:bookmarkEnd w:id="83"/>
    </w:p>
    <w:tbl>
      <w:tblPr>
        <w:tblW w:w="10140" w:type="dxa"/>
        <w:jc w:val="center"/>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A220FE" w:rsidRPr="00382A62" w14:paraId="1AAC0EBB" w14:textId="77777777" w:rsidTr="00A220FE">
        <w:trPr>
          <w:trHeight w:val="280"/>
          <w:jc w:val="center"/>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6C99A02" w14:textId="77777777" w:rsidR="00A220FE" w:rsidRPr="00382A62" w:rsidRDefault="00A220FE" w:rsidP="00A220F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Rotación de Inventarios</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5F26363C" w14:textId="77777777" w:rsidR="00A220FE" w:rsidRPr="00382A62" w:rsidRDefault="00A220FE" w:rsidP="00A220F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57FB9122" w14:textId="77777777" w:rsidR="00A220FE" w:rsidRPr="00382A62" w:rsidRDefault="00A220FE" w:rsidP="00A220F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8FBB06C" w14:textId="77777777" w:rsidR="00A220FE" w:rsidRPr="00382A62" w:rsidRDefault="00A220FE" w:rsidP="00A220F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A220FE" w:rsidRPr="00382A62" w14:paraId="7066FFF1" w14:textId="77777777" w:rsidTr="00A220FE">
        <w:trPr>
          <w:trHeight w:val="280"/>
          <w:jc w:val="center"/>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55BDDA33" w14:textId="77777777" w:rsidR="00A220FE" w:rsidRPr="00382A62" w:rsidRDefault="00A220FE" w:rsidP="00A220FE">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6F68AE31" w14:textId="77777777" w:rsidR="00A220FE" w:rsidRPr="00382A62" w:rsidRDefault="00A220FE" w:rsidP="00A220F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1DEF7B93" w14:textId="77777777" w:rsidR="00A220FE" w:rsidRPr="00382A62" w:rsidRDefault="00A220FE" w:rsidP="00A220F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07646DEE" w14:textId="77777777" w:rsidR="00A220FE" w:rsidRPr="00382A62" w:rsidRDefault="00A220FE" w:rsidP="00A220F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32D9E76D" w14:textId="77777777" w:rsidR="00A220FE" w:rsidRPr="00382A62" w:rsidRDefault="00A220FE" w:rsidP="00A220FE">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6C9021A1" w14:textId="77777777" w:rsidR="00A220FE" w:rsidRPr="00382A62" w:rsidRDefault="00A220FE" w:rsidP="00A220FE">
            <w:pPr>
              <w:spacing w:after="0" w:line="240" w:lineRule="auto"/>
              <w:jc w:val="left"/>
              <w:rPr>
                <w:rFonts w:eastAsia="Times New Roman" w:cs="Arial"/>
                <w:b/>
                <w:bCs/>
                <w:color w:val="000000"/>
                <w:szCs w:val="20"/>
                <w:lang w:val="es-419" w:eastAsia="es-419"/>
              </w:rPr>
            </w:pPr>
          </w:p>
        </w:tc>
      </w:tr>
      <w:tr w:rsidR="00A220FE" w:rsidRPr="00382A62" w14:paraId="6D4FD4AB" w14:textId="77777777" w:rsidTr="00A220FE">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3A75B477" w14:textId="77777777" w:rsidR="00A220FE" w:rsidRPr="00382A62" w:rsidRDefault="00A220FE" w:rsidP="00A220FE">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Costo de ventas</w:t>
            </w:r>
          </w:p>
        </w:tc>
        <w:tc>
          <w:tcPr>
            <w:tcW w:w="1322" w:type="dxa"/>
            <w:tcBorders>
              <w:top w:val="nil"/>
              <w:left w:val="nil"/>
              <w:bottom w:val="single" w:sz="4" w:space="0" w:color="A6A6A6"/>
              <w:right w:val="single" w:sz="4" w:space="0" w:color="A6A6A6"/>
            </w:tcBorders>
            <w:shd w:val="clear" w:color="auto" w:fill="auto"/>
            <w:noWrap/>
            <w:vAlign w:val="bottom"/>
            <w:hideMark/>
          </w:tcPr>
          <w:p w14:paraId="50991312"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406,346 </w:t>
            </w:r>
          </w:p>
        </w:tc>
        <w:tc>
          <w:tcPr>
            <w:tcW w:w="1322" w:type="dxa"/>
            <w:tcBorders>
              <w:top w:val="nil"/>
              <w:left w:val="nil"/>
              <w:bottom w:val="single" w:sz="4" w:space="0" w:color="A6A6A6"/>
              <w:right w:val="single" w:sz="4" w:space="0" w:color="A6A6A6"/>
            </w:tcBorders>
            <w:shd w:val="clear" w:color="auto" w:fill="auto"/>
            <w:noWrap/>
            <w:vAlign w:val="bottom"/>
            <w:hideMark/>
          </w:tcPr>
          <w:p w14:paraId="1B7D6B37"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469,414 </w:t>
            </w:r>
          </w:p>
        </w:tc>
        <w:tc>
          <w:tcPr>
            <w:tcW w:w="1376" w:type="dxa"/>
            <w:tcBorders>
              <w:top w:val="nil"/>
              <w:left w:val="nil"/>
              <w:bottom w:val="single" w:sz="4" w:space="0" w:color="A6A6A6"/>
              <w:right w:val="single" w:sz="4" w:space="0" w:color="A6A6A6"/>
            </w:tcBorders>
            <w:shd w:val="clear" w:color="auto" w:fill="auto"/>
            <w:noWrap/>
            <w:vAlign w:val="bottom"/>
            <w:hideMark/>
          </w:tcPr>
          <w:p w14:paraId="3586D002"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425,606 </w:t>
            </w:r>
          </w:p>
        </w:tc>
        <w:tc>
          <w:tcPr>
            <w:tcW w:w="1260" w:type="dxa"/>
            <w:tcBorders>
              <w:top w:val="nil"/>
              <w:left w:val="nil"/>
              <w:bottom w:val="single" w:sz="4" w:space="0" w:color="A6A6A6"/>
              <w:right w:val="single" w:sz="4" w:space="0" w:color="A6A6A6"/>
            </w:tcBorders>
            <w:shd w:val="clear" w:color="auto" w:fill="auto"/>
            <w:noWrap/>
            <w:vAlign w:val="bottom"/>
            <w:hideMark/>
          </w:tcPr>
          <w:p w14:paraId="0FE6AAF4"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43,808 </w:t>
            </w:r>
          </w:p>
        </w:tc>
        <w:tc>
          <w:tcPr>
            <w:tcW w:w="1260" w:type="dxa"/>
            <w:tcBorders>
              <w:top w:val="nil"/>
              <w:left w:val="nil"/>
              <w:bottom w:val="single" w:sz="4" w:space="0" w:color="A6A6A6"/>
              <w:right w:val="single" w:sz="4" w:space="0" w:color="A6A6A6"/>
            </w:tcBorders>
            <w:shd w:val="clear" w:color="auto" w:fill="auto"/>
            <w:noWrap/>
            <w:vAlign w:val="bottom"/>
            <w:hideMark/>
          </w:tcPr>
          <w:p w14:paraId="1F391E65"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-9.3%</w:t>
            </w:r>
          </w:p>
        </w:tc>
      </w:tr>
      <w:tr w:rsidR="00A220FE" w:rsidRPr="00382A62" w14:paraId="0E7DC684" w14:textId="77777777" w:rsidTr="00A220FE">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2A9E8501" w14:textId="77777777" w:rsidR="00A220FE" w:rsidRPr="00382A62" w:rsidRDefault="00A220FE" w:rsidP="00A220FE">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Inventario</w:t>
            </w:r>
          </w:p>
        </w:tc>
        <w:tc>
          <w:tcPr>
            <w:tcW w:w="1322" w:type="dxa"/>
            <w:tcBorders>
              <w:top w:val="nil"/>
              <w:left w:val="nil"/>
              <w:bottom w:val="single" w:sz="4" w:space="0" w:color="A6A6A6"/>
              <w:right w:val="single" w:sz="4" w:space="0" w:color="A6A6A6"/>
            </w:tcBorders>
            <w:shd w:val="clear" w:color="auto" w:fill="auto"/>
            <w:noWrap/>
            <w:vAlign w:val="bottom"/>
            <w:hideMark/>
          </w:tcPr>
          <w:p w14:paraId="1E614BF6"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85,736 </w:t>
            </w:r>
          </w:p>
        </w:tc>
        <w:tc>
          <w:tcPr>
            <w:tcW w:w="1322" w:type="dxa"/>
            <w:tcBorders>
              <w:top w:val="nil"/>
              <w:left w:val="nil"/>
              <w:bottom w:val="single" w:sz="4" w:space="0" w:color="A6A6A6"/>
              <w:right w:val="single" w:sz="4" w:space="0" w:color="A6A6A6"/>
            </w:tcBorders>
            <w:shd w:val="clear" w:color="auto" w:fill="auto"/>
            <w:noWrap/>
            <w:vAlign w:val="bottom"/>
            <w:hideMark/>
          </w:tcPr>
          <w:p w14:paraId="15ABD29E"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119,334 </w:t>
            </w:r>
          </w:p>
        </w:tc>
        <w:tc>
          <w:tcPr>
            <w:tcW w:w="1376" w:type="dxa"/>
            <w:tcBorders>
              <w:top w:val="nil"/>
              <w:left w:val="nil"/>
              <w:bottom w:val="single" w:sz="4" w:space="0" w:color="A6A6A6"/>
              <w:right w:val="single" w:sz="4" w:space="0" w:color="A6A6A6"/>
            </w:tcBorders>
            <w:shd w:val="clear" w:color="auto" w:fill="auto"/>
            <w:noWrap/>
            <w:vAlign w:val="bottom"/>
            <w:hideMark/>
          </w:tcPr>
          <w:p w14:paraId="7BBBBE5A"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84,861 </w:t>
            </w:r>
          </w:p>
        </w:tc>
        <w:tc>
          <w:tcPr>
            <w:tcW w:w="1260" w:type="dxa"/>
            <w:tcBorders>
              <w:top w:val="nil"/>
              <w:left w:val="nil"/>
              <w:bottom w:val="single" w:sz="4" w:space="0" w:color="A6A6A6"/>
              <w:right w:val="single" w:sz="4" w:space="0" w:color="A6A6A6"/>
            </w:tcBorders>
            <w:shd w:val="clear" w:color="auto" w:fill="auto"/>
            <w:noWrap/>
            <w:vAlign w:val="bottom"/>
            <w:hideMark/>
          </w:tcPr>
          <w:p w14:paraId="6C82836B"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34,473 </w:t>
            </w:r>
          </w:p>
        </w:tc>
        <w:tc>
          <w:tcPr>
            <w:tcW w:w="1260" w:type="dxa"/>
            <w:tcBorders>
              <w:top w:val="nil"/>
              <w:left w:val="nil"/>
              <w:bottom w:val="single" w:sz="4" w:space="0" w:color="A6A6A6"/>
              <w:right w:val="single" w:sz="4" w:space="0" w:color="A6A6A6"/>
            </w:tcBorders>
            <w:shd w:val="clear" w:color="auto" w:fill="auto"/>
            <w:noWrap/>
            <w:vAlign w:val="bottom"/>
            <w:hideMark/>
          </w:tcPr>
          <w:p w14:paraId="65F8A278"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-28.9%</w:t>
            </w:r>
          </w:p>
        </w:tc>
      </w:tr>
      <w:tr w:rsidR="00A220FE" w:rsidRPr="00382A62" w14:paraId="20BEDED4" w14:textId="77777777" w:rsidTr="00A220FE">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0A355F2B" w14:textId="77777777" w:rsidR="00A220FE" w:rsidRPr="00382A62" w:rsidRDefault="00A220FE" w:rsidP="00A220FE">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Rotación de Inventarios</w:t>
            </w:r>
          </w:p>
        </w:tc>
        <w:tc>
          <w:tcPr>
            <w:tcW w:w="1322" w:type="dxa"/>
            <w:tcBorders>
              <w:top w:val="nil"/>
              <w:left w:val="nil"/>
              <w:bottom w:val="single" w:sz="4" w:space="0" w:color="A6A6A6"/>
              <w:right w:val="single" w:sz="4" w:space="0" w:color="A6A6A6"/>
            </w:tcBorders>
            <w:shd w:val="clear" w:color="auto" w:fill="auto"/>
            <w:noWrap/>
            <w:vAlign w:val="bottom"/>
            <w:hideMark/>
          </w:tcPr>
          <w:p w14:paraId="3C90A45A"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4.7 </w:t>
            </w:r>
          </w:p>
        </w:tc>
        <w:tc>
          <w:tcPr>
            <w:tcW w:w="1322" w:type="dxa"/>
            <w:tcBorders>
              <w:top w:val="nil"/>
              <w:left w:val="nil"/>
              <w:bottom w:val="single" w:sz="4" w:space="0" w:color="A6A6A6"/>
              <w:right w:val="single" w:sz="4" w:space="0" w:color="A6A6A6"/>
            </w:tcBorders>
            <w:shd w:val="clear" w:color="auto" w:fill="auto"/>
            <w:noWrap/>
            <w:vAlign w:val="bottom"/>
            <w:hideMark/>
          </w:tcPr>
          <w:p w14:paraId="13FDDF39"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3.9 </w:t>
            </w:r>
          </w:p>
        </w:tc>
        <w:tc>
          <w:tcPr>
            <w:tcW w:w="1376" w:type="dxa"/>
            <w:tcBorders>
              <w:top w:val="nil"/>
              <w:left w:val="nil"/>
              <w:bottom w:val="single" w:sz="4" w:space="0" w:color="A6A6A6"/>
              <w:right w:val="single" w:sz="4" w:space="0" w:color="A6A6A6"/>
            </w:tcBorders>
            <w:shd w:val="clear" w:color="auto" w:fill="auto"/>
            <w:noWrap/>
            <w:vAlign w:val="bottom"/>
            <w:hideMark/>
          </w:tcPr>
          <w:p w14:paraId="0D694EF9"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5.0 </w:t>
            </w:r>
          </w:p>
        </w:tc>
        <w:tc>
          <w:tcPr>
            <w:tcW w:w="1260" w:type="dxa"/>
            <w:tcBorders>
              <w:top w:val="nil"/>
              <w:left w:val="nil"/>
              <w:bottom w:val="single" w:sz="4" w:space="0" w:color="A6A6A6"/>
              <w:right w:val="single" w:sz="4" w:space="0" w:color="A6A6A6"/>
            </w:tcBorders>
            <w:shd w:val="clear" w:color="auto" w:fill="auto"/>
            <w:noWrap/>
            <w:vAlign w:val="bottom"/>
            <w:hideMark/>
          </w:tcPr>
          <w:p w14:paraId="1C0761F4"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1.1 </w:t>
            </w:r>
          </w:p>
        </w:tc>
        <w:tc>
          <w:tcPr>
            <w:tcW w:w="1260" w:type="dxa"/>
            <w:tcBorders>
              <w:top w:val="nil"/>
              <w:left w:val="nil"/>
              <w:bottom w:val="single" w:sz="4" w:space="0" w:color="A6A6A6"/>
              <w:right w:val="single" w:sz="4" w:space="0" w:color="A6A6A6"/>
            </w:tcBorders>
            <w:shd w:val="clear" w:color="auto" w:fill="auto"/>
            <w:noWrap/>
            <w:vAlign w:val="bottom"/>
            <w:hideMark/>
          </w:tcPr>
          <w:p w14:paraId="624589A8"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27.5%</w:t>
            </w:r>
          </w:p>
        </w:tc>
      </w:tr>
    </w:tbl>
    <w:p w14:paraId="72E68EF5" w14:textId="77777777" w:rsidR="001C0F66" w:rsidRPr="00382A62" w:rsidRDefault="001C0F66" w:rsidP="007605E6">
      <w:pPr>
        <w:rPr>
          <w:rFonts w:cs="Arial"/>
          <w:szCs w:val="20"/>
        </w:rPr>
      </w:pPr>
    </w:p>
    <w:p w14:paraId="2FE7CAB7" w14:textId="6BC7B69A" w:rsidR="007605E6" w:rsidRPr="00382A62" w:rsidRDefault="007605E6" w:rsidP="007605E6">
      <w:pPr>
        <w:rPr>
          <w:rFonts w:cs="Arial"/>
          <w:szCs w:val="20"/>
        </w:rPr>
      </w:pPr>
      <w:r w:rsidRPr="00382A62">
        <w:rPr>
          <w:rFonts w:cs="Arial"/>
          <w:szCs w:val="20"/>
        </w:rPr>
        <w:t>Para el 202</w:t>
      </w:r>
      <w:r w:rsidR="001C0F66" w:rsidRPr="00382A62">
        <w:rPr>
          <w:rFonts w:cs="Arial"/>
          <w:szCs w:val="20"/>
        </w:rPr>
        <w:t>3</w:t>
      </w:r>
      <w:r w:rsidRPr="00382A62">
        <w:rPr>
          <w:rFonts w:cs="Arial"/>
          <w:szCs w:val="20"/>
        </w:rPr>
        <w:t xml:space="preserve">, el inventario rotó </w:t>
      </w:r>
      <w:r w:rsidR="001C0F66" w:rsidRPr="00382A62">
        <w:rPr>
          <w:rFonts w:cs="Arial"/>
          <w:szCs w:val="20"/>
        </w:rPr>
        <w:t>5,0</w:t>
      </w:r>
      <w:r w:rsidRPr="00382A62">
        <w:rPr>
          <w:rFonts w:cs="Arial"/>
          <w:szCs w:val="20"/>
        </w:rPr>
        <w:t xml:space="preserve"> veces en el año, presentando un</w:t>
      </w:r>
      <w:r w:rsidR="001C0F66" w:rsidRPr="00382A62">
        <w:rPr>
          <w:rFonts w:cs="Arial"/>
          <w:szCs w:val="20"/>
        </w:rPr>
        <w:t xml:space="preserve"> aumento </w:t>
      </w:r>
      <w:r w:rsidRPr="00382A62">
        <w:rPr>
          <w:rFonts w:cs="Arial"/>
          <w:szCs w:val="20"/>
        </w:rPr>
        <w:t xml:space="preserve">de </w:t>
      </w:r>
      <w:r w:rsidR="001C0F66" w:rsidRPr="00382A62">
        <w:rPr>
          <w:rFonts w:cs="Arial"/>
          <w:szCs w:val="20"/>
        </w:rPr>
        <w:t>1.1</w:t>
      </w:r>
      <w:r w:rsidRPr="00382A62">
        <w:rPr>
          <w:rFonts w:cs="Arial"/>
          <w:szCs w:val="20"/>
        </w:rPr>
        <w:t xml:space="preserve"> con respecto al periodo anterior.</w:t>
      </w:r>
    </w:p>
    <w:p w14:paraId="6A58A4F2" w14:textId="77777777" w:rsidR="007605E6" w:rsidRPr="00382A62" w:rsidRDefault="007605E6" w:rsidP="007605E6">
      <w:pPr>
        <w:pStyle w:val="Prrafodelista"/>
        <w:numPr>
          <w:ilvl w:val="0"/>
          <w:numId w:val="21"/>
        </w:numPr>
        <w:rPr>
          <w:rFonts w:cs="Arial"/>
          <w:b/>
          <w:bCs/>
          <w:szCs w:val="20"/>
        </w:rPr>
      </w:pPr>
      <w:r w:rsidRPr="00382A62">
        <w:rPr>
          <w:rFonts w:cs="Arial"/>
          <w:b/>
          <w:bCs/>
          <w:szCs w:val="20"/>
        </w:rPr>
        <w:t>Rotación de Activo Fijo</w:t>
      </w:r>
    </w:p>
    <w:p w14:paraId="3B27B1C7" w14:textId="6930CB63" w:rsidR="00753E26" w:rsidRPr="00382A62" w:rsidRDefault="007605E6" w:rsidP="007605E6">
      <w:pPr>
        <w:rPr>
          <w:rFonts w:cs="Arial"/>
          <w:szCs w:val="20"/>
        </w:rPr>
      </w:pPr>
      <w:r w:rsidRPr="00382A62">
        <w:rPr>
          <w:rFonts w:cs="Arial"/>
          <w:szCs w:val="20"/>
        </w:rPr>
        <w:t>El cálculo de esta razón corresponde a tomar las ventas netas y dividirlas entre el activo fijo total. Se interpreta como la efectividad que tiene la empresa para utilizar su activo fijo total y convertirlo en desempeño comercial a través de las ventas.</w:t>
      </w:r>
    </w:p>
    <w:p w14:paraId="6CCE3E20" w14:textId="0D7E2E3A" w:rsidR="007605E6" w:rsidRPr="00382A62" w:rsidRDefault="007605E6" w:rsidP="007605E6">
      <w:pPr>
        <w:pStyle w:val="Descripcin"/>
        <w:rPr>
          <w:rFonts w:cs="Arial"/>
          <w:szCs w:val="20"/>
        </w:rPr>
      </w:pPr>
      <w:bookmarkStart w:id="84" w:name="_Toc169624717"/>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21</w:t>
      </w:r>
      <w:r w:rsidR="00423C23" w:rsidRPr="00382A62">
        <w:rPr>
          <w:rFonts w:cs="Arial"/>
          <w:noProof/>
          <w:szCs w:val="20"/>
        </w:rPr>
        <w:fldChar w:fldCharType="end"/>
      </w:r>
      <w:r w:rsidRPr="00382A62">
        <w:rPr>
          <w:rFonts w:cs="Arial"/>
          <w:szCs w:val="20"/>
        </w:rPr>
        <w:t xml:space="preserve"> - Rotación de Activo Fijo</w:t>
      </w:r>
      <w:bookmarkEnd w:id="84"/>
    </w:p>
    <w:tbl>
      <w:tblPr>
        <w:tblW w:w="10140" w:type="dxa"/>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277C81" w:rsidRPr="00382A62" w14:paraId="6BB62D65" w14:textId="77777777" w:rsidTr="00277C81">
        <w:trPr>
          <w:trHeight w:val="280"/>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133251A" w14:textId="77777777" w:rsidR="00277C81" w:rsidRPr="00382A62" w:rsidRDefault="00277C81" w:rsidP="00277C8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Rotación activo fijo</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52235B5E" w14:textId="77777777" w:rsidR="00277C81" w:rsidRPr="00382A62" w:rsidRDefault="00277C81" w:rsidP="00277C8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17507FB" w14:textId="77777777" w:rsidR="00277C81" w:rsidRPr="00382A62" w:rsidRDefault="00277C81" w:rsidP="00277C8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1BFF20F" w14:textId="77777777" w:rsidR="00277C81" w:rsidRPr="00382A62" w:rsidRDefault="00277C81" w:rsidP="00277C8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277C81" w:rsidRPr="00382A62" w14:paraId="540D5436" w14:textId="77777777" w:rsidTr="00277C81">
        <w:trPr>
          <w:trHeight w:val="280"/>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46F876F3" w14:textId="77777777" w:rsidR="00277C81" w:rsidRPr="00382A62" w:rsidRDefault="00277C81" w:rsidP="00277C81">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44F81A79" w14:textId="77777777" w:rsidR="00277C81" w:rsidRPr="00382A62" w:rsidRDefault="00277C81" w:rsidP="00277C8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7D1C77C2" w14:textId="77777777" w:rsidR="00277C81" w:rsidRPr="00382A62" w:rsidRDefault="00277C81" w:rsidP="00277C8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482B4B95" w14:textId="77777777" w:rsidR="00277C81" w:rsidRPr="00382A62" w:rsidRDefault="00277C81" w:rsidP="00277C8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3FFF6194" w14:textId="77777777" w:rsidR="00277C81" w:rsidRPr="00382A62" w:rsidRDefault="00277C81" w:rsidP="00277C81">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434F4B6C" w14:textId="77777777" w:rsidR="00277C81" w:rsidRPr="00382A62" w:rsidRDefault="00277C81" w:rsidP="00277C81">
            <w:pPr>
              <w:spacing w:after="0" w:line="240" w:lineRule="auto"/>
              <w:jc w:val="left"/>
              <w:rPr>
                <w:rFonts w:eastAsia="Times New Roman" w:cs="Arial"/>
                <w:b/>
                <w:bCs/>
                <w:color w:val="000000"/>
                <w:szCs w:val="20"/>
                <w:lang w:val="es-419" w:eastAsia="es-419"/>
              </w:rPr>
            </w:pPr>
          </w:p>
        </w:tc>
      </w:tr>
      <w:tr w:rsidR="00277C81" w:rsidRPr="00382A62" w14:paraId="6CB06181" w14:textId="77777777" w:rsidTr="00277C81">
        <w:trPr>
          <w:trHeight w:val="280"/>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1E647DA0" w14:textId="77777777" w:rsidR="00277C81" w:rsidRPr="00382A62" w:rsidRDefault="00277C81" w:rsidP="00277C8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Ventas Netas</w:t>
            </w:r>
          </w:p>
        </w:tc>
        <w:tc>
          <w:tcPr>
            <w:tcW w:w="1322" w:type="dxa"/>
            <w:tcBorders>
              <w:top w:val="nil"/>
              <w:left w:val="nil"/>
              <w:bottom w:val="single" w:sz="4" w:space="0" w:color="A6A6A6"/>
              <w:right w:val="single" w:sz="4" w:space="0" w:color="A6A6A6"/>
            </w:tcBorders>
            <w:shd w:val="clear" w:color="auto" w:fill="auto"/>
            <w:noWrap/>
            <w:vAlign w:val="bottom"/>
            <w:hideMark/>
          </w:tcPr>
          <w:p w14:paraId="10342D15"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751,585 </w:t>
            </w:r>
          </w:p>
        </w:tc>
        <w:tc>
          <w:tcPr>
            <w:tcW w:w="1322" w:type="dxa"/>
            <w:tcBorders>
              <w:top w:val="nil"/>
              <w:left w:val="nil"/>
              <w:bottom w:val="single" w:sz="4" w:space="0" w:color="A6A6A6"/>
              <w:right w:val="single" w:sz="4" w:space="0" w:color="A6A6A6"/>
            </w:tcBorders>
            <w:shd w:val="clear" w:color="auto" w:fill="auto"/>
            <w:noWrap/>
            <w:vAlign w:val="bottom"/>
            <w:hideMark/>
          </w:tcPr>
          <w:p w14:paraId="3CB23CD2"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846,576 </w:t>
            </w:r>
          </w:p>
        </w:tc>
        <w:tc>
          <w:tcPr>
            <w:tcW w:w="1376" w:type="dxa"/>
            <w:tcBorders>
              <w:top w:val="nil"/>
              <w:left w:val="nil"/>
              <w:bottom w:val="single" w:sz="4" w:space="0" w:color="A6A6A6"/>
              <w:right w:val="single" w:sz="4" w:space="0" w:color="A6A6A6"/>
            </w:tcBorders>
            <w:shd w:val="clear" w:color="auto" w:fill="auto"/>
            <w:noWrap/>
            <w:vAlign w:val="bottom"/>
            <w:hideMark/>
          </w:tcPr>
          <w:p w14:paraId="1CD414FD"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827,387 </w:t>
            </w:r>
          </w:p>
        </w:tc>
        <w:tc>
          <w:tcPr>
            <w:tcW w:w="1260" w:type="dxa"/>
            <w:tcBorders>
              <w:top w:val="nil"/>
              <w:left w:val="nil"/>
              <w:bottom w:val="single" w:sz="4" w:space="0" w:color="A6A6A6"/>
              <w:right w:val="single" w:sz="4" w:space="0" w:color="A6A6A6"/>
            </w:tcBorders>
            <w:shd w:val="clear" w:color="auto" w:fill="auto"/>
            <w:noWrap/>
            <w:vAlign w:val="bottom"/>
            <w:hideMark/>
          </w:tcPr>
          <w:p w14:paraId="0F35F971"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19,189 </w:t>
            </w:r>
          </w:p>
        </w:tc>
        <w:tc>
          <w:tcPr>
            <w:tcW w:w="1260" w:type="dxa"/>
            <w:tcBorders>
              <w:top w:val="nil"/>
              <w:left w:val="nil"/>
              <w:bottom w:val="single" w:sz="4" w:space="0" w:color="A6A6A6"/>
              <w:right w:val="single" w:sz="4" w:space="0" w:color="A6A6A6"/>
            </w:tcBorders>
            <w:shd w:val="clear" w:color="auto" w:fill="auto"/>
            <w:noWrap/>
            <w:vAlign w:val="bottom"/>
            <w:hideMark/>
          </w:tcPr>
          <w:p w14:paraId="24AF1B20"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-2.3%</w:t>
            </w:r>
          </w:p>
        </w:tc>
      </w:tr>
      <w:tr w:rsidR="00277C81" w:rsidRPr="00382A62" w14:paraId="1CC2D188" w14:textId="77777777" w:rsidTr="00277C81">
        <w:trPr>
          <w:trHeight w:val="280"/>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45998B9F" w14:textId="77777777" w:rsidR="00277C81" w:rsidRPr="00382A62" w:rsidRDefault="00277C81" w:rsidP="00277C8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Activo Fijo</w:t>
            </w:r>
          </w:p>
        </w:tc>
        <w:tc>
          <w:tcPr>
            <w:tcW w:w="1322" w:type="dxa"/>
            <w:tcBorders>
              <w:top w:val="nil"/>
              <w:left w:val="nil"/>
              <w:bottom w:val="single" w:sz="4" w:space="0" w:color="A6A6A6"/>
              <w:right w:val="single" w:sz="4" w:space="0" w:color="A6A6A6"/>
            </w:tcBorders>
            <w:shd w:val="clear" w:color="auto" w:fill="auto"/>
            <w:noWrap/>
            <w:vAlign w:val="bottom"/>
            <w:hideMark/>
          </w:tcPr>
          <w:p w14:paraId="2E8E330C"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338,673 </w:t>
            </w:r>
          </w:p>
        </w:tc>
        <w:tc>
          <w:tcPr>
            <w:tcW w:w="1322" w:type="dxa"/>
            <w:tcBorders>
              <w:top w:val="nil"/>
              <w:left w:val="nil"/>
              <w:bottom w:val="single" w:sz="4" w:space="0" w:color="A6A6A6"/>
              <w:right w:val="single" w:sz="4" w:space="0" w:color="A6A6A6"/>
            </w:tcBorders>
            <w:shd w:val="clear" w:color="auto" w:fill="auto"/>
            <w:noWrap/>
            <w:vAlign w:val="bottom"/>
            <w:hideMark/>
          </w:tcPr>
          <w:p w14:paraId="2049167F"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334,798 </w:t>
            </w:r>
          </w:p>
        </w:tc>
        <w:tc>
          <w:tcPr>
            <w:tcW w:w="1376" w:type="dxa"/>
            <w:tcBorders>
              <w:top w:val="nil"/>
              <w:left w:val="nil"/>
              <w:bottom w:val="single" w:sz="4" w:space="0" w:color="A6A6A6"/>
              <w:right w:val="single" w:sz="4" w:space="0" w:color="A6A6A6"/>
            </w:tcBorders>
            <w:shd w:val="clear" w:color="auto" w:fill="auto"/>
            <w:noWrap/>
            <w:vAlign w:val="bottom"/>
            <w:hideMark/>
          </w:tcPr>
          <w:p w14:paraId="2EF0D663"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350,671 </w:t>
            </w:r>
          </w:p>
        </w:tc>
        <w:tc>
          <w:tcPr>
            <w:tcW w:w="1260" w:type="dxa"/>
            <w:tcBorders>
              <w:top w:val="nil"/>
              <w:left w:val="nil"/>
              <w:bottom w:val="single" w:sz="4" w:space="0" w:color="A6A6A6"/>
              <w:right w:val="single" w:sz="4" w:space="0" w:color="A6A6A6"/>
            </w:tcBorders>
            <w:shd w:val="clear" w:color="auto" w:fill="auto"/>
            <w:noWrap/>
            <w:vAlign w:val="bottom"/>
            <w:hideMark/>
          </w:tcPr>
          <w:p w14:paraId="685D5C0B"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15,873 </w:t>
            </w:r>
          </w:p>
        </w:tc>
        <w:tc>
          <w:tcPr>
            <w:tcW w:w="1260" w:type="dxa"/>
            <w:tcBorders>
              <w:top w:val="nil"/>
              <w:left w:val="nil"/>
              <w:bottom w:val="single" w:sz="4" w:space="0" w:color="A6A6A6"/>
              <w:right w:val="single" w:sz="4" w:space="0" w:color="A6A6A6"/>
            </w:tcBorders>
            <w:shd w:val="clear" w:color="auto" w:fill="auto"/>
            <w:noWrap/>
            <w:vAlign w:val="bottom"/>
            <w:hideMark/>
          </w:tcPr>
          <w:p w14:paraId="60A10828"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4.7%</w:t>
            </w:r>
          </w:p>
        </w:tc>
      </w:tr>
      <w:tr w:rsidR="00277C81" w:rsidRPr="00382A62" w14:paraId="6B80C0A4" w14:textId="77777777" w:rsidTr="00277C81">
        <w:trPr>
          <w:trHeight w:val="280"/>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78ED1091" w14:textId="77777777" w:rsidR="00277C81" w:rsidRPr="00382A62" w:rsidRDefault="00277C81" w:rsidP="00277C8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Rotación activo fijo</w:t>
            </w:r>
          </w:p>
        </w:tc>
        <w:tc>
          <w:tcPr>
            <w:tcW w:w="1322" w:type="dxa"/>
            <w:tcBorders>
              <w:top w:val="nil"/>
              <w:left w:val="nil"/>
              <w:bottom w:val="single" w:sz="4" w:space="0" w:color="A6A6A6"/>
              <w:right w:val="single" w:sz="4" w:space="0" w:color="A6A6A6"/>
            </w:tcBorders>
            <w:shd w:val="clear" w:color="auto" w:fill="auto"/>
            <w:noWrap/>
            <w:vAlign w:val="bottom"/>
            <w:hideMark/>
          </w:tcPr>
          <w:p w14:paraId="39A1736D"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2.2 </w:t>
            </w:r>
          </w:p>
        </w:tc>
        <w:tc>
          <w:tcPr>
            <w:tcW w:w="1322" w:type="dxa"/>
            <w:tcBorders>
              <w:top w:val="nil"/>
              <w:left w:val="nil"/>
              <w:bottom w:val="single" w:sz="4" w:space="0" w:color="A6A6A6"/>
              <w:right w:val="single" w:sz="4" w:space="0" w:color="A6A6A6"/>
            </w:tcBorders>
            <w:shd w:val="clear" w:color="auto" w:fill="auto"/>
            <w:noWrap/>
            <w:vAlign w:val="bottom"/>
            <w:hideMark/>
          </w:tcPr>
          <w:p w14:paraId="01D5F40B"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2.5 </w:t>
            </w:r>
          </w:p>
        </w:tc>
        <w:tc>
          <w:tcPr>
            <w:tcW w:w="1376" w:type="dxa"/>
            <w:tcBorders>
              <w:top w:val="nil"/>
              <w:left w:val="nil"/>
              <w:bottom w:val="single" w:sz="4" w:space="0" w:color="A6A6A6"/>
              <w:right w:val="single" w:sz="4" w:space="0" w:color="A6A6A6"/>
            </w:tcBorders>
            <w:shd w:val="clear" w:color="auto" w:fill="auto"/>
            <w:noWrap/>
            <w:vAlign w:val="bottom"/>
            <w:hideMark/>
          </w:tcPr>
          <w:p w14:paraId="07FFFC80"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2.4 </w:t>
            </w:r>
          </w:p>
        </w:tc>
        <w:tc>
          <w:tcPr>
            <w:tcW w:w="1260" w:type="dxa"/>
            <w:tcBorders>
              <w:top w:val="nil"/>
              <w:left w:val="nil"/>
              <w:bottom w:val="single" w:sz="4" w:space="0" w:color="A6A6A6"/>
              <w:right w:val="single" w:sz="4" w:space="0" w:color="A6A6A6"/>
            </w:tcBorders>
            <w:shd w:val="clear" w:color="auto" w:fill="auto"/>
            <w:noWrap/>
            <w:vAlign w:val="bottom"/>
            <w:hideMark/>
          </w:tcPr>
          <w:p w14:paraId="02867E51"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0.2 </w:t>
            </w:r>
          </w:p>
        </w:tc>
        <w:tc>
          <w:tcPr>
            <w:tcW w:w="1260" w:type="dxa"/>
            <w:tcBorders>
              <w:top w:val="nil"/>
              <w:left w:val="nil"/>
              <w:bottom w:val="single" w:sz="4" w:space="0" w:color="A6A6A6"/>
              <w:right w:val="single" w:sz="4" w:space="0" w:color="A6A6A6"/>
            </w:tcBorders>
            <w:shd w:val="clear" w:color="auto" w:fill="auto"/>
            <w:noWrap/>
            <w:vAlign w:val="bottom"/>
            <w:hideMark/>
          </w:tcPr>
          <w:p w14:paraId="7CA89C4A"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-6.7%</w:t>
            </w:r>
          </w:p>
        </w:tc>
      </w:tr>
    </w:tbl>
    <w:p w14:paraId="48422689" w14:textId="77777777" w:rsidR="007605E6" w:rsidRPr="00382A62" w:rsidRDefault="007605E6" w:rsidP="007605E6">
      <w:pPr>
        <w:jc w:val="center"/>
        <w:rPr>
          <w:rFonts w:cs="Arial"/>
          <w:szCs w:val="20"/>
        </w:rPr>
      </w:pPr>
    </w:p>
    <w:p w14:paraId="2CCD4138" w14:textId="58D3F735" w:rsidR="007605E6" w:rsidRPr="00382A62" w:rsidRDefault="007605E6" w:rsidP="007605E6">
      <w:pPr>
        <w:rPr>
          <w:rFonts w:cs="Arial"/>
          <w:szCs w:val="20"/>
        </w:rPr>
      </w:pPr>
      <w:r w:rsidRPr="00382A62">
        <w:rPr>
          <w:rFonts w:cs="Arial"/>
          <w:szCs w:val="20"/>
        </w:rPr>
        <w:t>Este indicador muestra un</w:t>
      </w:r>
      <w:r w:rsidR="001C0F66" w:rsidRPr="00382A62">
        <w:rPr>
          <w:rFonts w:cs="Arial"/>
          <w:szCs w:val="20"/>
        </w:rPr>
        <w:t xml:space="preserve">a disminución </w:t>
      </w:r>
      <w:r w:rsidRPr="00382A62">
        <w:rPr>
          <w:rFonts w:cs="Arial"/>
          <w:szCs w:val="20"/>
        </w:rPr>
        <w:t xml:space="preserve">de </w:t>
      </w:r>
      <w:r w:rsidR="001C0F66" w:rsidRPr="00382A62">
        <w:rPr>
          <w:rFonts w:cs="Arial"/>
          <w:szCs w:val="20"/>
        </w:rPr>
        <w:t xml:space="preserve">0,2 </w:t>
      </w:r>
      <w:r w:rsidRPr="00382A62">
        <w:rPr>
          <w:rFonts w:cs="Arial"/>
          <w:szCs w:val="20"/>
        </w:rPr>
        <w:t>con relación al año 202</w:t>
      </w:r>
      <w:r w:rsidR="001C0F66" w:rsidRPr="00382A62">
        <w:rPr>
          <w:rFonts w:cs="Arial"/>
          <w:szCs w:val="20"/>
        </w:rPr>
        <w:t>2</w:t>
      </w:r>
      <w:r w:rsidRPr="00382A62">
        <w:rPr>
          <w:rFonts w:cs="Arial"/>
          <w:szCs w:val="20"/>
        </w:rPr>
        <w:t xml:space="preserve">, lo cual se debe </w:t>
      </w:r>
      <w:r w:rsidR="00FE31CF" w:rsidRPr="00382A62">
        <w:rPr>
          <w:rFonts w:cs="Arial"/>
          <w:szCs w:val="20"/>
        </w:rPr>
        <w:t>a la disminución</w:t>
      </w:r>
      <w:r w:rsidRPr="00382A62">
        <w:rPr>
          <w:rFonts w:cs="Arial"/>
          <w:szCs w:val="20"/>
        </w:rPr>
        <w:t xml:space="preserve"> de las ventas netas de la Compañía.</w:t>
      </w:r>
    </w:p>
    <w:p w14:paraId="594BC6F3" w14:textId="77777777" w:rsidR="007605E6" w:rsidRPr="00382A62" w:rsidRDefault="007605E6" w:rsidP="007605E6">
      <w:pPr>
        <w:pStyle w:val="Prrafodelista"/>
        <w:numPr>
          <w:ilvl w:val="0"/>
          <w:numId w:val="21"/>
        </w:numPr>
        <w:rPr>
          <w:rFonts w:cs="Arial"/>
          <w:b/>
          <w:bCs/>
          <w:szCs w:val="20"/>
        </w:rPr>
      </w:pPr>
      <w:r w:rsidRPr="00382A62">
        <w:rPr>
          <w:rFonts w:cs="Arial"/>
          <w:b/>
          <w:bCs/>
          <w:szCs w:val="20"/>
        </w:rPr>
        <w:t>Utilidad Neta más Gastos Financieros a Gastos Financieros</w:t>
      </w:r>
    </w:p>
    <w:p w14:paraId="4B1C4EAA" w14:textId="457E57AC" w:rsidR="007605E6" w:rsidRPr="00382A62" w:rsidRDefault="007605E6" w:rsidP="007605E6">
      <w:pPr>
        <w:rPr>
          <w:rFonts w:cs="Arial"/>
          <w:szCs w:val="20"/>
        </w:rPr>
      </w:pPr>
      <w:r w:rsidRPr="00382A62">
        <w:rPr>
          <w:rFonts w:cs="Arial"/>
          <w:szCs w:val="20"/>
        </w:rPr>
        <w:t>El cálculo de esta razón corresponde a tomar la utilidad neta y sumarle los gastos financieros. El resultado anterior se divide entre los gastos financieros. Este indicador muestra el número de veces que las ganancias netas antes de intereses cubren la carga financiera.</w:t>
      </w:r>
    </w:p>
    <w:p w14:paraId="72B377CE" w14:textId="77777777" w:rsidR="0090153C" w:rsidRDefault="0090153C" w:rsidP="007605E6">
      <w:pPr>
        <w:rPr>
          <w:rFonts w:cs="Arial"/>
          <w:szCs w:val="20"/>
        </w:rPr>
      </w:pPr>
    </w:p>
    <w:p w14:paraId="53675518" w14:textId="77777777" w:rsidR="0099549C" w:rsidRDefault="0099549C" w:rsidP="007605E6">
      <w:pPr>
        <w:rPr>
          <w:rFonts w:cs="Arial"/>
          <w:szCs w:val="20"/>
        </w:rPr>
      </w:pPr>
    </w:p>
    <w:p w14:paraId="15B03B2C" w14:textId="77777777" w:rsidR="0099549C" w:rsidRPr="00382A62" w:rsidRDefault="0099549C" w:rsidP="007605E6">
      <w:pPr>
        <w:rPr>
          <w:rFonts w:cs="Arial"/>
          <w:szCs w:val="20"/>
        </w:rPr>
      </w:pPr>
    </w:p>
    <w:p w14:paraId="52A55159" w14:textId="77777777" w:rsidR="0090153C" w:rsidRDefault="0090153C" w:rsidP="007605E6">
      <w:pPr>
        <w:rPr>
          <w:rFonts w:cs="Arial"/>
          <w:szCs w:val="20"/>
        </w:rPr>
      </w:pPr>
    </w:p>
    <w:p w14:paraId="1802A94D" w14:textId="2A91859D" w:rsidR="007605E6" w:rsidRPr="00382A62" w:rsidRDefault="007605E6" w:rsidP="007605E6">
      <w:pPr>
        <w:pStyle w:val="Descripcin"/>
        <w:rPr>
          <w:rFonts w:cs="Arial"/>
          <w:szCs w:val="20"/>
        </w:rPr>
      </w:pPr>
      <w:bookmarkStart w:id="85" w:name="_Toc169624718"/>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22</w:t>
      </w:r>
      <w:r w:rsidR="00423C23" w:rsidRPr="00382A62">
        <w:rPr>
          <w:rFonts w:cs="Arial"/>
          <w:noProof/>
          <w:szCs w:val="20"/>
        </w:rPr>
        <w:fldChar w:fldCharType="end"/>
      </w:r>
      <w:r w:rsidRPr="00382A62">
        <w:rPr>
          <w:rFonts w:cs="Arial"/>
          <w:szCs w:val="20"/>
        </w:rPr>
        <w:t xml:space="preserve"> - Utilidad Neta más Gastos Financieros a Gastos Financieros</w:t>
      </w:r>
      <w:bookmarkEnd w:id="85"/>
    </w:p>
    <w:tbl>
      <w:tblPr>
        <w:tblW w:w="10140" w:type="dxa"/>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774113" w:rsidRPr="00382A62" w14:paraId="525A5E81" w14:textId="77777777" w:rsidTr="00774113">
        <w:trPr>
          <w:trHeight w:val="280"/>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83139E8" w14:textId="59045D24" w:rsidR="00774113" w:rsidRPr="00382A62" w:rsidRDefault="00774113" w:rsidP="00774113">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Utilidad Neta más Gastos Financieros a Gastos Financieros</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5387458F" w14:textId="77777777" w:rsidR="00774113" w:rsidRPr="00382A62" w:rsidRDefault="00774113" w:rsidP="00774113">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7845558" w14:textId="77777777" w:rsidR="00774113" w:rsidRPr="00382A62" w:rsidRDefault="00774113" w:rsidP="00774113">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ACAD500" w14:textId="77777777" w:rsidR="00774113" w:rsidRPr="00382A62" w:rsidRDefault="00774113" w:rsidP="00774113">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774113" w:rsidRPr="00382A62" w14:paraId="677E3047" w14:textId="77777777" w:rsidTr="00774113">
        <w:trPr>
          <w:trHeight w:val="280"/>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6FE85E4A" w14:textId="77777777" w:rsidR="00774113" w:rsidRPr="00382A62" w:rsidRDefault="00774113" w:rsidP="00774113">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40763E82" w14:textId="77777777" w:rsidR="00774113" w:rsidRPr="00382A62" w:rsidRDefault="00774113" w:rsidP="00774113">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1348E45C" w14:textId="77777777" w:rsidR="00774113" w:rsidRPr="00382A62" w:rsidRDefault="00774113" w:rsidP="00774113">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6E6D5CCF" w14:textId="77777777" w:rsidR="00774113" w:rsidRPr="00382A62" w:rsidRDefault="00774113" w:rsidP="00774113">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748E64A9" w14:textId="77777777" w:rsidR="00774113" w:rsidRPr="00382A62" w:rsidRDefault="00774113" w:rsidP="00774113">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15B8A427" w14:textId="77777777" w:rsidR="00774113" w:rsidRPr="00382A62" w:rsidRDefault="00774113" w:rsidP="00774113">
            <w:pPr>
              <w:spacing w:after="0" w:line="240" w:lineRule="auto"/>
              <w:jc w:val="left"/>
              <w:rPr>
                <w:rFonts w:eastAsia="Times New Roman" w:cs="Arial"/>
                <w:b/>
                <w:bCs/>
                <w:color w:val="000000"/>
                <w:szCs w:val="20"/>
                <w:lang w:val="es-419" w:eastAsia="es-419"/>
              </w:rPr>
            </w:pPr>
          </w:p>
        </w:tc>
      </w:tr>
      <w:tr w:rsidR="00774113" w:rsidRPr="00382A62" w14:paraId="20C57D3E" w14:textId="77777777" w:rsidTr="00774113">
        <w:trPr>
          <w:trHeight w:val="280"/>
        </w:trPr>
        <w:tc>
          <w:tcPr>
            <w:tcW w:w="3600" w:type="dxa"/>
            <w:tcBorders>
              <w:top w:val="nil"/>
              <w:left w:val="single" w:sz="4" w:space="0" w:color="A6A6A6"/>
              <w:bottom w:val="single" w:sz="4" w:space="0" w:color="A6A6A6"/>
              <w:right w:val="single" w:sz="4" w:space="0" w:color="A6A6A6"/>
            </w:tcBorders>
            <w:shd w:val="clear" w:color="auto" w:fill="auto"/>
            <w:noWrap/>
            <w:vAlign w:val="center"/>
            <w:hideMark/>
          </w:tcPr>
          <w:p w14:paraId="6F0EF1E6" w14:textId="77777777" w:rsidR="00774113" w:rsidRPr="00382A62" w:rsidRDefault="00774113" w:rsidP="00774113">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 Neta</w:t>
            </w:r>
          </w:p>
        </w:tc>
        <w:tc>
          <w:tcPr>
            <w:tcW w:w="1322" w:type="dxa"/>
            <w:tcBorders>
              <w:top w:val="nil"/>
              <w:left w:val="nil"/>
              <w:bottom w:val="single" w:sz="4" w:space="0" w:color="A6A6A6"/>
              <w:right w:val="single" w:sz="4" w:space="0" w:color="A6A6A6"/>
            </w:tcBorders>
            <w:shd w:val="clear" w:color="auto" w:fill="auto"/>
            <w:noWrap/>
            <w:vAlign w:val="center"/>
            <w:hideMark/>
          </w:tcPr>
          <w:p w14:paraId="2B630A27"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71,701 </w:t>
            </w:r>
          </w:p>
        </w:tc>
        <w:tc>
          <w:tcPr>
            <w:tcW w:w="1322" w:type="dxa"/>
            <w:tcBorders>
              <w:top w:val="nil"/>
              <w:left w:val="nil"/>
              <w:bottom w:val="single" w:sz="4" w:space="0" w:color="A6A6A6"/>
              <w:right w:val="single" w:sz="4" w:space="0" w:color="A6A6A6"/>
            </w:tcBorders>
            <w:shd w:val="clear" w:color="auto" w:fill="auto"/>
            <w:noWrap/>
            <w:vAlign w:val="center"/>
            <w:hideMark/>
          </w:tcPr>
          <w:p w14:paraId="11894EEA"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91,365 </w:t>
            </w:r>
          </w:p>
        </w:tc>
        <w:tc>
          <w:tcPr>
            <w:tcW w:w="1376" w:type="dxa"/>
            <w:tcBorders>
              <w:top w:val="nil"/>
              <w:left w:val="nil"/>
              <w:bottom w:val="single" w:sz="4" w:space="0" w:color="A6A6A6"/>
              <w:right w:val="single" w:sz="4" w:space="0" w:color="A6A6A6"/>
            </w:tcBorders>
            <w:shd w:val="clear" w:color="auto" w:fill="auto"/>
            <w:noWrap/>
            <w:vAlign w:val="center"/>
            <w:hideMark/>
          </w:tcPr>
          <w:p w14:paraId="5BA52B31"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95,266 </w:t>
            </w:r>
          </w:p>
        </w:tc>
        <w:tc>
          <w:tcPr>
            <w:tcW w:w="1260" w:type="dxa"/>
            <w:tcBorders>
              <w:top w:val="nil"/>
              <w:left w:val="nil"/>
              <w:bottom w:val="single" w:sz="4" w:space="0" w:color="A6A6A6"/>
              <w:right w:val="single" w:sz="4" w:space="0" w:color="A6A6A6"/>
            </w:tcBorders>
            <w:shd w:val="clear" w:color="auto" w:fill="auto"/>
            <w:noWrap/>
            <w:vAlign w:val="center"/>
            <w:hideMark/>
          </w:tcPr>
          <w:p w14:paraId="6A76DBE0"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3,901 </w:t>
            </w:r>
          </w:p>
        </w:tc>
        <w:tc>
          <w:tcPr>
            <w:tcW w:w="1260" w:type="dxa"/>
            <w:tcBorders>
              <w:top w:val="nil"/>
              <w:left w:val="nil"/>
              <w:bottom w:val="single" w:sz="4" w:space="0" w:color="A6A6A6"/>
              <w:right w:val="single" w:sz="4" w:space="0" w:color="A6A6A6"/>
            </w:tcBorders>
            <w:shd w:val="clear" w:color="auto" w:fill="auto"/>
            <w:noWrap/>
            <w:vAlign w:val="center"/>
            <w:hideMark/>
          </w:tcPr>
          <w:p w14:paraId="6CDE21D9"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4.3%</w:t>
            </w:r>
          </w:p>
        </w:tc>
      </w:tr>
      <w:tr w:rsidR="00774113" w:rsidRPr="00382A62" w14:paraId="56A58A8B" w14:textId="77777777" w:rsidTr="00774113">
        <w:trPr>
          <w:trHeight w:val="280"/>
        </w:trPr>
        <w:tc>
          <w:tcPr>
            <w:tcW w:w="3600" w:type="dxa"/>
            <w:tcBorders>
              <w:top w:val="nil"/>
              <w:left w:val="single" w:sz="4" w:space="0" w:color="A6A6A6"/>
              <w:bottom w:val="single" w:sz="4" w:space="0" w:color="A6A6A6"/>
              <w:right w:val="single" w:sz="4" w:space="0" w:color="A6A6A6"/>
            </w:tcBorders>
            <w:shd w:val="clear" w:color="auto" w:fill="auto"/>
            <w:noWrap/>
            <w:vAlign w:val="center"/>
            <w:hideMark/>
          </w:tcPr>
          <w:p w14:paraId="53626D4B" w14:textId="77777777" w:rsidR="00774113" w:rsidRPr="00382A62" w:rsidRDefault="00774113" w:rsidP="00774113">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Gasto Financiero</w:t>
            </w:r>
          </w:p>
        </w:tc>
        <w:tc>
          <w:tcPr>
            <w:tcW w:w="1322" w:type="dxa"/>
            <w:tcBorders>
              <w:top w:val="nil"/>
              <w:left w:val="nil"/>
              <w:bottom w:val="single" w:sz="4" w:space="0" w:color="A6A6A6"/>
              <w:right w:val="single" w:sz="4" w:space="0" w:color="A6A6A6"/>
            </w:tcBorders>
            <w:shd w:val="clear" w:color="auto" w:fill="auto"/>
            <w:noWrap/>
            <w:vAlign w:val="center"/>
            <w:hideMark/>
          </w:tcPr>
          <w:p w14:paraId="0207B1D0"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27,315 </w:t>
            </w:r>
          </w:p>
        </w:tc>
        <w:tc>
          <w:tcPr>
            <w:tcW w:w="1322" w:type="dxa"/>
            <w:tcBorders>
              <w:top w:val="nil"/>
              <w:left w:val="nil"/>
              <w:bottom w:val="single" w:sz="4" w:space="0" w:color="A6A6A6"/>
              <w:right w:val="single" w:sz="4" w:space="0" w:color="A6A6A6"/>
            </w:tcBorders>
            <w:shd w:val="clear" w:color="auto" w:fill="auto"/>
            <w:noWrap/>
            <w:vAlign w:val="center"/>
            <w:hideMark/>
          </w:tcPr>
          <w:p w14:paraId="7C3D2AB0"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25,190 </w:t>
            </w:r>
          </w:p>
        </w:tc>
        <w:tc>
          <w:tcPr>
            <w:tcW w:w="1376" w:type="dxa"/>
            <w:tcBorders>
              <w:top w:val="nil"/>
              <w:left w:val="nil"/>
              <w:bottom w:val="single" w:sz="4" w:space="0" w:color="A6A6A6"/>
              <w:right w:val="single" w:sz="4" w:space="0" w:color="A6A6A6"/>
            </w:tcBorders>
            <w:shd w:val="clear" w:color="auto" w:fill="auto"/>
            <w:noWrap/>
            <w:vAlign w:val="center"/>
            <w:hideMark/>
          </w:tcPr>
          <w:p w14:paraId="519B8FA2"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26,723 </w:t>
            </w:r>
          </w:p>
        </w:tc>
        <w:tc>
          <w:tcPr>
            <w:tcW w:w="1260" w:type="dxa"/>
            <w:tcBorders>
              <w:top w:val="nil"/>
              <w:left w:val="nil"/>
              <w:bottom w:val="single" w:sz="4" w:space="0" w:color="A6A6A6"/>
              <w:right w:val="single" w:sz="4" w:space="0" w:color="A6A6A6"/>
            </w:tcBorders>
            <w:shd w:val="clear" w:color="auto" w:fill="auto"/>
            <w:noWrap/>
            <w:vAlign w:val="center"/>
            <w:hideMark/>
          </w:tcPr>
          <w:p w14:paraId="57E227C5"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1,533 </w:t>
            </w:r>
          </w:p>
        </w:tc>
        <w:tc>
          <w:tcPr>
            <w:tcW w:w="1260" w:type="dxa"/>
            <w:tcBorders>
              <w:top w:val="nil"/>
              <w:left w:val="nil"/>
              <w:bottom w:val="single" w:sz="4" w:space="0" w:color="A6A6A6"/>
              <w:right w:val="single" w:sz="4" w:space="0" w:color="A6A6A6"/>
            </w:tcBorders>
            <w:shd w:val="clear" w:color="auto" w:fill="auto"/>
            <w:noWrap/>
            <w:vAlign w:val="center"/>
            <w:hideMark/>
          </w:tcPr>
          <w:p w14:paraId="1A1C9C51"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6.1%</w:t>
            </w:r>
          </w:p>
        </w:tc>
      </w:tr>
      <w:tr w:rsidR="00774113" w:rsidRPr="00382A62" w14:paraId="63A81982" w14:textId="77777777" w:rsidTr="00774113">
        <w:trPr>
          <w:trHeight w:val="540"/>
        </w:trPr>
        <w:tc>
          <w:tcPr>
            <w:tcW w:w="3600" w:type="dxa"/>
            <w:tcBorders>
              <w:top w:val="nil"/>
              <w:left w:val="single" w:sz="4" w:space="0" w:color="A6A6A6"/>
              <w:bottom w:val="single" w:sz="4" w:space="0" w:color="A6A6A6"/>
              <w:right w:val="single" w:sz="4" w:space="0" w:color="A6A6A6"/>
            </w:tcBorders>
            <w:shd w:val="clear" w:color="auto" w:fill="auto"/>
            <w:vAlign w:val="center"/>
            <w:hideMark/>
          </w:tcPr>
          <w:p w14:paraId="27C0DC66" w14:textId="77777777" w:rsidR="00774113" w:rsidRPr="00382A62" w:rsidRDefault="00774113" w:rsidP="00774113">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 Neta más Gastos Financieros a Gastos Financieros</w:t>
            </w:r>
          </w:p>
        </w:tc>
        <w:tc>
          <w:tcPr>
            <w:tcW w:w="1322" w:type="dxa"/>
            <w:tcBorders>
              <w:top w:val="nil"/>
              <w:left w:val="nil"/>
              <w:bottom w:val="single" w:sz="4" w:space="0" w:color="A6A6A6"/>
              <w:right w:val="single" w:sz="4" w:space="0" w:color="A6A6A6"/>
            </w:tcBorders>
            <w:shd w:val="clear" w:color="auto" w:fill="auto"/>
            <w:noWrap/>
            <w:vAlign w:val="center"/>
            <w:hideMark/>
          </w:tcPr>
          <w:p w14:paraId="2CD41018"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3.6 </w:t>
            </w:r>
          </w:p>
        </w:tc>
        <w:tc>
          <w:tcPr>
            <w:tcW w:w="1322" w:type="dxa"/>
            <w:tcBorders>
              <w:top w:val="nil"/>
              <w:left w:val="nil"/>
              <w:bottom w:val="single" w:sz="4" w:space="0" w:color="A6A6A6"/>
              <w:right w:val="single" w:sz="4" w:space="0" w:color="A6A6A6"/>
            </w:tcBorders>
            <w:shd w:val="clear" w:color="auto" w:fill="auto"/>
            <w:noWrap/>
            <w:vAlign w:val="center"/>
            <w:hideMark/>
          </w:tcPr>
          <w:p w14:paraId="5E7A36CB"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4.6 </w:t>
            </w:r>
          </w:p>
        </w:tc>
        <w:tc>
          <w:tcPr>
            <w:tcW w:w="1376" w:type="dxa"/>
            <w:tcBorders>
              <w:top w:val="nil"/>
              <w:left w:val="nil"/>
              <w:bottom w:val="single" w:sz="4" w:space="0" w:color="A6A6A6"/>
              <w:right w:val="single" w:sz="4" w:space="0" w:color="A6A6A6"/>
            </w:tcBorders>
            <w:shd w:val="clear" w:color="auto" w:fill="auto"/>
            <w:noWrap/>
            <w:vAlign w:val="center"/>
            <w:hideMark/>
          </w:tcPr>
          <w:p w14:paraId="1194EDEE"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4.6 </w:t>
            </w:r>
          </w:p>
        </w:tc>
        <w:tc>
          <w:tcPr>
            <w:tcW w:w="1260" w:type="dxa"/>
            <w:tcBorders>
              <w:top w:val="nil"/>
              <w:left w:val="nil"/>
              <w:bottom w:val="single" w:sz="4" w:space="0" w:color="A6A6A6"/>
              <w:right w:val="single" w:sz="4" w:space="0" w:color="A6A6A6"/>
            </w:tcBorders>
            <w:shd w:val="clear" w:color="auto" w:fill="auto"/>
            <w:noWrap/>
            <w:vAlign w:val="center"/>
            <w:hideMark/>
          </w:tcPr>
          <w:p w14:paraId="19787152" w14:textId="6E775EA0" w:rsidR="00774113" w:rsidRPr="00382A62" w:rsidRDefault="0090153C"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0.0</w:t>
            </w:r>
            <w:r w:rsidR="00774113" w:rsidRPr="00382A62">
              <w:rPr>
                <w:rFonts w:eastAsia="Times New Roman" w:cs="Arial"/>
                <w:color w:val="000000"/>
                <w:szCs w:val="20"/>
                <w:lang w:val="es-419" w:eastAsia="es-419"/>
              </w:rPr>
              <w:t xml:space="preserve">           </w:t>
            </w:r>
          </w:p>
        </w:tc>
        <w:tc>
          <w:tcPr>
            <w:tcW w:w="1260" w:type="dxa"/>
            <w:tcBorders>
              <w:top w:val="nil"/>
              <w:left w:val="nil"/>
              <w:bottom w:val="single" w:sz="4" w:space="0" w:color="A6A6A6"/>
              <w:right w:val="single" w:sz="4" w:space="0" w:color="A6A6A6"/>
            </w:tcBorders>
            <w:shd w:val="clear" w:color="auto" w:fill="auto"/>
            <w:noWrap/>
            <w:vAlign w:val="center"/>
            <w:hideMark/>
          </w:tcPr>
          <w:p w14:paraId="3CA0108F" w14:textId="727EBFC5" w:rsidR="00774113" w:rsidRPr="00382A62" w:rsidRDefault="0090153C"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0,0</w:t>
            </w:r>
            <w:r w:rsidR="00774113" w:rsidRPr="00382A62">
              <w:rPr>
                <w:rFonts w:eastAsia="Times New Roman" w:cs="Arial"/>
                <w:color w:val="000000"/>
                <w:szCs w:val="20"/>
                <w:lang w:val="es-419" w:eastAsia="es-419"/>
              </w:rPr>
              <w:t>%</w:t>
            </w:r>
          </w:p>
        </w:tc>
      </w:tr>
    </w:tbl>
    <w:p w14:paraId="72EE3DFF" w14:textId="77777777" w:rsidR="007605E6" w:rsidRPr="00382A62" w:rsidRDefault="007605E6" w:rsidP="007605E6">
      <w:pPr>
        <w:jc w:val="center"/>
        <w:rPr>
          <w:rFonts w:cs="Arial"/>
          <w:szCs w:val="20"/>
        </w:rPr>
      </w:pPr>
    </w:p>
    <w:p w14:paraId="45B679F7" w14:textId="0EDD0EC7" w:rsidR="00B41D8B" w:rsidRPr="00382A62" w:rsidRDefault="007605E6" w:rsidP="007605E6">
      <w:pPr>
        <w:rPr>
          <w:rFonts w:cs="Arial"/>
          <w:szCs w:val="20"/>
        </w:rPr>
      </w:pPr>
      <w:r w:rsidRPr="00382A62">
        <w:rPr>
          <w:rFonts w:cs="Arial"/>
          <w:szCs w:val="20"/>
        </w:rPr>
        <w:t>Para el año 202</w:t>
      </w:r>
      <w:r w:rsidR="006720AA" w:rsidRPr="00382A62">
        <w:rPr>
          <w:rFonts w:cs="Arial"/>
          <w:szCs w:val="20"/>
        </w:rPr>
        <w:t>3</w:t>
      </w:r>
      <w:r w:rsidRPr="00382A62">
        <w:rPr>
          <w:rFonts w:cs="Arial"/>
          <w:szCs w:val="20"/>
        </w:rPr>
        <w:t xml:space="preserve">, el índice </w:t>
      </w:r>
      <w:r w:rsidR="006720AA" w:rsidRPr="00382A62">
        <w:rPr>
          <w:rFonts w:cs="Arial"/>
          <w:szCs w:val="20"/>
        </w:rPr>
        <w:t>se mantien</w:t>
      </w:r>
      <w:r w:rsidR="0090153C" w:rsidRPr="00382A62">
        <w:rPr>
          <w:rFonts w:cs="Arial"/>
          <w:szCs w:val="20"/>
        </w:rPr>
        <w:t xml:space="preserve">e </w:t>
      </w:r>
      <w:r w:rsidR="00BB0935">
        <w:rPr>
          <w:rFonts w:cs="Arial"/>
          <w:szCs w:val="20"/>
        </w:rPr>
        <w:t xml:space="preserve">en </w:t>
      </w:r>
      <w:r w:rsidR="0090153C" w:rsidRPr="00382A62">
        <w:rPr>
          <w:rFonts w:cs="Arial"/>
          <w:szCs w:val="20"/>
        </w:rPr>
        <w:t>4,6</w:t>
      </w:r>
      <w:r w:rsidRPr="00382A62">
        <w:rPr>
          <w:rFonts w:cs="Arial"/>
          <w:szCs w:val="20"/>
        </w:rPr>
        <w:t xml:space="preserve"> veces de cobertura con relación al 2021</w:t>
      </w:r>
      <w:r w:rsidR="00BB0935">
        <w:rPr>
          <w:rFonts w:cs="Arial"/>
          <w:szCs w:val="20"/>
        </w:rPr>
        <w:t>,</w:t>
      </w:r>
      <w:r w:rsidRPr="00382A62">
        <w:rPr>
          <w:rFonts w:cs="Arial"/>
          <w:szCs w:val="20"/>
        </w:rPr>
        <w:t xml:space="preserve"> </w:t>
      </w:r>
      <w:r w:rsidR="00BB0935">
        <w:rPr>
          <w:rFonts w:cs="Arial"/>
          <w:szCs w:val="20"/>
        </w:rPr>
        <w:t>o</w:t>
      </w:r>
      <w:r w:rsidRPr="00382A62">
        <w:rPr>
          <w:rFonts w:cs="Arial"/>
          <w:szCs w:val="20"/>
        </w:rPr>
        <w:t>riginado por una disminución en los gastos financieros al fortalecer el balance general mediante una gestión activa de la cartera de endeudamiento.</w:t>
      </w:r>
    </w:p>
    <w:p w14:paraId="37AF2633" w14:textId="77777777" w:rsidR="007605E6" w:rsidRPr="00382A62" w:rsidRDefault="007605E6" w:rsidP="007605E6">
      <w:pPr>
        <w:pStyle w:val="Prrafodelista"/>
        <w:numPr>
          <w:ilvl w:val="0"/>
          <w:numId w:val="21"/>
        </w:numPr>
        <w:rPr>
          <w:rFonts w:cs="Arial"/>
          <w:b/>
          <w:bCs/>
          <w:szCs w:val="20"/>
        </w:rPr>
      </w:pPr>
      <w:r w:rsidRPr="00382A62">
        <w:rPr>
          <w:rFonts w:cs="Arial"/>
          <w:b/>
          <w:bCs/>
          <w:szCs w:val="20"/>
        </w:rPr>
        <w:t>Cuentas Incobrables a Ventas Netas</w:t>
      </w:r>
    </w:p>
    <w:p w14:paraId="555954FB" w14:textId="77777777" w:rsidR="007605E6" w:rsidRPr="00382A62" w:rsidRDefault="007605E6" w:rsidP="007605E6">
      <w:pPr>
        <w:rPr>
          <w:rFonts w:cs="Arial"/>
          <w:szCs w:val="20"/>
        </w:rPr>
      </w:pPr>
      <w:r w:rsidRPr="00382A62">
        <w:rPr>
          <w:rFonts w:cs="Arial"/>
          <w:szCs w:val="20"/>
        </w:rPr>
        <w:t>El cálculo de esta razón corresponde a tomar el monto del gasto de cuentas incobrables del período y dividirlo</w:t>
      </w:r>
      <w:r w:rsidRPr="00382A62">
        <w:rPr>
          <w:rFonts w:cs="Arial"/>
          <w:szCs w:val="20"/>
        </w:rPr>
        <w:tab/>
        <w:t xml:space="preserve"> entre las ventas netas. El mismo indica el porcentaje de las ventas que la Compañía no logra recuperar.</w:t>
      </w:r>
    </w:p>
    <w:p w14:paraId="40F0BE45" w14:textId="4B184D3E" w:rsidR="007605E6" w:rsidRPr="00382A62" w:rsidRDefault="007605E6" w:rsidP="007605E6">
      <w:pPr>
        <w:pStyle w:val="Descripcin"/>
        <w:rPr>
          <w:rFonts w:cs="Arial"/>
          <w:szCs w:val="20"/>
        </w:rPr>
      </w:pPr>
      <w:bookmarkStart w:id="86" w:name="_Toc169624719"/>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23</w:t>
      </w:r>
      <w:r w:rsidR="00423C23" w:rsidRPr="00382A62">
        <w:rPr>
          <w:rFonts w:cs="Arial"/>
          <w:noProof/>
          <w:szCs w:val="20"/>
        </w:rPr>
        <w:fldChar w:fldCharType="end"/>
      </w:r>
      <w:r w:rsidRPr="00382A62">
        <w:rPr>
          <w:rFonts w:cs="Arial"/>
          <w:szCs w:val="20"/>
        </w:rPr>
        <w:t xml:space="preserve"> - Cuentas Incobrables a Ventas Netas</w:t>
      </w:r>
      <w:bookmarkEnd w:id="86"/>
    </w:p>
    <w:tbl>
      <w:tblPr>
        <w:tblW w:w="10140" w:type="dxa"/>
        <w:jc w:val="center"/>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6E6306" w:rsidRPr="00382A62" w14:paraId="6F231895" w14:textId="77777777" w:rsidTr="006E6306">
        <w:trPr>
          <w:trHeight w:val="280"/>
          <w:jc w:val="center"/>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345F8D1" w14:textId="77777777" w:rsidR="006E6306" w:rsidRPr="00382A62" w:rsidRDefault="006E6306" w:rsidP="006E6306">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Cuentas Incobrables a Ventas</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3E674D6E" w14:textId="77777777" w:rsidR="006E6306" w:rsidRPr="00382A62" w:rsidRDefault="006E6306" w:rsidP="006E6306">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1C125732" w14:textId="77777777" w:rsidR="006E6306" w:rsidRPr="00382A62" w:rsidRDefault="006E6306" w:rsidP="006E6306">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6A7D1AA" w14:textId="77777777" w:rsidR="006E6306" w:rsidRPr="00382A62" w:rsidRDefault="006E6306" w:rsidP="006E6306">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6E6306" w:rsidRPr="00382A62" w14:paraId="1390FC06" w14:textId="77777777" w:rsidTr="006E6306">
        <w:trPr>
          <w:trHeight w:val="280"/>
          <w:jc w:val="center"/>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30730451" w14:textId="77777777" w:rsidR="006E6306" w:rsidRPr="00382A62" w:rsidRDefault="006E6306" w:rsidP="006E6306">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47795863" w14:textId="77777777" w:rsidR="006E6306" w:rsidRPr="00382A62" w:rsidRDefault="006E6306" w:rsidP="006E6306">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1540BA50" w14:textId="77777777" w:rsidR="006E6306" w:rsidRPr="00382A62" w:rsidRDefault="006E6306" w:rsidP="006E6306">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6F385B90" w14:textId="77777777" w:rsidR="006E6306" w:rsidRPr="00382A62" w:rsidRDefault="006E6306" w:rsidP="006E6306">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601D8E9C" w14:textId="77777777" w:rsidR="006E6306" w:rsidRPr="00382A62" w:rsidRDefault="006E6306" w:rsidP="006E6306">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68F4D4B4" w14:textId="77777777" w:rsidR="006E6306" w:rsidRPr="00382A62" w:rsidRDefault="006E6306" w:rsidP="006E6306">
            <w:pPr>
              <w:spacing w:after="0" w:line="240" w:lineRule="auto"/>
              <w:jc w:val="left"/>
              <w:rPr>
                <w:rFonts w:eastAsia="Times New Roman" w:cs="Arial"/>
                <w:b/>
                <w:bCs/>
                <w:color w:val="000000"/>
                <w:szCs w:val="20"/>
                <w:lang w:val="es-419" w:eastAsia="es-419"/>
              </w:rPr>
            </w:pPr>
          </w:p>
        </w:tc>
      </w:tr>
      <w:tr w:rsidR="006E6306" w:rsidRPr="00382A62" w14:paraId="2ECDB37E" w14:textId="77777777" w:rsidTr="006E6306">
        <w:trPr>
          <w:trHeight w:val="480"/>
          <w:jc w:val="center"/>
        </w:trPr>
        <w:tc>
          <w:tcPr>
            <w:tcW w:w="3600" w:type="dxa"/>
            <w:tcBorders>
              <w:top w:val="nil"/>
              <w:left w:val="single" w:sz="4" w:space="0" w:color="A6A6A6"/>
              <w:bottom w:val="single" w:sz="4" w:space="0" w:color="A6A6A6"/>
              <w:right w:val="single" w:sz="4" w:space="0" w:color="A6A6A6"/>
            </w:tcBorders>
            <w:shd w:val="clear" w:color="auto" w:fill="auto"/>
            <w:vAlign w:val="bottom"/>
            <w:hideMark/>
          </w:tcPr>
          <w:p w14:paraId="3C21249B" w14:textId="77777777" w:rsidR="006E6306" w:rsidRPr="00382A62" w:rsidRDefault="006E6306" w:rsidP="006E6306">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Estimación para cuentas de cobro dudoso (Gasto del año)</w:t>
            </w:r>
          </w:p>
        </w:tc>
        <w:tc>
          <w:tcPr>
            <w:tcW w:w="1322" w:type="dxa"/>
            <w:tcBorders>
              <w:top w:val="nil"/>
              <w:left w:val="nil"/>
              <w:bottom w:val="single" w:sz="4" w:space="0" w:color="A6A6A6"/>
              <w:right w:val="single" w:sz="4" w:space="0" w:color="A6A6A6"/>
            </w:tcBorders>
            <w:shd w:val="clear" w:color="auto" w:fill="auto"/>
            <w:noWrap/>
            <w:vAlign w:val="bottom"/>
            <w:hideMark/>
          </w:tcPr>
          <w:p w14:paraId="5E863183"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2,624 </w:t>
            </w:r>
          </w:p>
        </w:tc>
        <w:tc>
          <w:tcPr>
            <w:tcW w:w="1322" w:type="dxa"/>
            <w:tcBorders>
              <w:top w:val="nil"/>
              <w:left w:val="nil"/>
              <w:bottom w:val="single" w:sz="4" w:space="0" w:color="A6A6A6"/>
              <w:right w:val="single" w:sz="4" w:space="0" w:color="A6A6A6"/>
            </w:tcBorders>
            <w:shd w:val="clear" w:color="auto" w:fill="auto"/>
            <w:noWrap/>
            <w:vAlign w:val="bottom"/>
            <w:hideMark/>
          </w:tcPr>
          <w:p w14:paraId="5D265B4F"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1,582 </w:t>
            </w:r>
          </w:p>
        </w:tc>
        <w:tc>
          <w:tcPr>
            <w:tcW w:w="1376" w:type="dxa"/>
            <w:tcBorders>
              <w:top w:val="nil"/>
              <w:left w:val="nil"/>
              <w:bottom w:val="single" w:sz="4" w:space="0" w:color="A6A6A6"/>
              <w:right w:val="single" w:sz="4" w:space="0" w:color="A6A6A6"/>
            </w:tcBorders>
            <w:shd w:val="clear" w:color="auto" w:fill="auto"/>
            <w:noWrap/>
            <w:vAlign w:val="bottom"/>
            <w:hideMark/>
          </w:tcPr>
          <w:p w14:paraId="2389D50B"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1,761 </w:t>
            </w:r>
          </w:p>
        </w:tc>
        <w:tc>
          <w:tcPr>
            <w:tcW w:w="1260" w:type="dxa"/>
            <w:tcBorders>
              <w:top w:val="nil"/>
              <w:left w:val="nil"/>
              <w:bottom w:val="single" w:sz="4" w:space="0" w:color="A6A6A6"/>
              <w:right w:val="single" w:sz="4" w:space="0" w:color="A6A6A6"/>
            </w:tcBorders>
            <w:shd w:val="clear" w:color="auto" w:fill="auto"/>
            <w:noWrap/>
            <w:vAlign w:val="bottom"/>
            <w:hideMark/>
          </w:tcPr>
          <w:p w14:paraId="79BEDDAF"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179 </w:t>
            </w:r>
          </w:p>
        </w:tc>
        <w:tc>
          <w:tcPr>
            <w:tcW w:w="1260" w:type="dxa"/>
            <w:tcBorders>
              <w:top w:val="nil"/>
              <w:left w:val="nil"/>
              <w:bottom w:val="single" w:sz="4" w:space="0" w:color="A6A6A6"/>
              <w:right w:val="single" w:sz="4" w:space="0" w:color="A6A6A6"/>
            </w:tcBorders>
            <w:shd w:val="clear" w:color="auto" w:fill="auto"/>
            <w:noWrap/>
            <w:vAlign w:val="bottom"/>
            <w:hideMark/>
          </w:tcPr>
          <w:p w14:paraId="2A4B88D9"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11.3%</w:t>
            </w:r>
          </w:p>
        </w:tc>
      </w:tr>
      <w:tr w:rsidR="006E6306" w:rsidRPr="00382A62" w14:paraId="0373A134" w14:textId="77777777" w:rsidTr="006E6306">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246BA744" w14:textId="77777777" w:rsidR="006E6306" w:rsidRPr="00382A62" w:rsidRDefault="006E6306" w:rsidP="006E6306">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Ventas</w:t>
            </w:r>
          </w:p>
        </w:tc>
        <w:tc>
          <w:tcPr>
            <w:tcW w:w="1322" w:type="dxa"/>
            <w:tcBorders>
              <w:top w:val="nil"/>
              <w:left w:val="nil"/>
              <w:bottom w:val="single" w:sz="4" w:space="0" w:color="A6A6A6"/>
              <w:right w:val="single" w:sz="4" w:space="0" w:color="A6A6A6"/>
            </w:tcBorders>
            <w:shd w:val="clear" w:color="auto" w:fill="auto"/>
            <w:noWrap/>
            <w:vAlign w:val="bottom"/>
            <w:hideMark/>
          </w:tcPr>
          <w:p w14:paraId="50FCA1E9"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751,585 </w:t>
            </w:r>
          </w:p>
        </w:tc>
        <w:tc>
          <w:tcPr>
            <w:tcW w:w="1322" w:type="dxa"/>
            <w:tcBorders>
              <w:top w:val="nil"/>
              <w:left w:val="nil"/>
              <w:bottom w:val="single" w:sz="4" w:space="0" w:color="A6A6A6"/>
              <w:right w:val="single" w:sz="4" w:space="0" w:color="A6A6A6"/>
            </w:tcBorders>
            <w:shd w:val="clear" w:color="auto" w:fill="auto"/>
            <w:noWrap/>
            <w:vAlign w:val="bottom"/>
            <w:hideMark/>
          </w:tcPr>
          <w:p w14:paraId="06DC490E"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846,576 </w:t>
            </w:r>
          </w:p>
        </w:tc>
        <w:tc>
          <w:tcPr>
            <w:tcW w:w="1376" w:type="dxa"/>
            <w:tcBorders>
              <w:top w:val="nil"/>
              <w:left w:val="nil"/>
              <w:bottom w:val="single" w:sz="4" w:space="0" w:color="A6A6A6"/>
              <w:right w:val="single" w:sz="4" w:space="0" w:color="A6A6A6"/>
            </w:tcBorders>
            <w:shd w:val="clear" w:color="auto" w:fill="auto"/>
            <w:noWrap/>
            <w:vAlign w:val="bottom"/>
            <w:hideMark/>
          </w:tcPr>
          <w:p w14:paraId="4BEB56A8"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827,387 </w:t>
            </w:r>
          </w:p>
        </w:tc>
        <w:tc>
          <w:tcPr>
            <w:tcW w:w="1260" w:type="dxa"/>
            <w:tcBorders>
              <w:top w:val="nil"/>
              <w:left w:val="nil"/>
              <w:bottom w:val="single" w:sz="4" w:space="0" w:color="A6A6A6"/>
              <w:right w:val="single" w:sz="4" w:space="0" w:color="A6A6A6"/>
            </w:tcBorders>
            <w:shd w:val="clear" w:color="auto" w:fill="auto"/>
            <w:noWrap/>
            <w:vAlign w:val="bottom"/>
            <w:hideMark/>
          </w:tcPr>
          <w:p w14:paraId="1E684A31"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19,189 </w:t>
            </w:r>
          </w:p>
        </w:tc>
        <w:tc>
          <w:tcPr>
            <w:tcW w:w="1260" w:type="dxa"/>
            <w:tcBorders>
              <w:top w:val="nil"/>
              <w:left w:val="nil"/>
              <w:bottom w:val="single" w:sz="4" w:space="0" w:color="A6A6A6"/>
              <w:right w:val="single" w:sz="4" w:space="0" w:color="A6A6A6"/>
            </w:tcBorders>
            <w:shd w:val="clear" w:color="auto" w:fill="auto"/>
            <w:noWrap/>
            <w:vAlign w:val="bottom"/>
            <w:hideMark/>
          </w:tcPr>
          <w:p w14:paraId="21F30781"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-2.3%</w:t>
            </w:r>
          </w:p>
        </w:tc>
      </w:tr>
      <w:tr w:rsidR="006E6306" w:rsidRPr="00382A62" w14:paraId="25B9F344" w14:textId="77777777" w:rsidTr="006E6306">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05FC0A5B" w14:textId="77777777" w:rsidR="006E6306" w:rsidRPr="00382A62" w:rsidRDefault="006E6306" w:rsidP="006E6306">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Cuentas Incobrables a Ventas</w:t>
            </w:r>
          </w:p>
        </w:tc>
        <w:tc>
          <w:tcPr>
            <w:tcW w:w="1322" w:type="dxa"/>
            <w:tcBorders>
              <w:top w:val="nil"/>
              <w:left w:val="nil"/>
              <w:bottom w:val="single" w:sz="4" w:space="0" w:color="A6A6A6"/>
              <w:right w:val="single" w:sz="4" w:space="0" w:color="A6A6A6"/>
            </w:tcBorders>
            <w:shd w:val="clear" w:color="auto" w:fill="auto"/>
            <w:noWrap/>
            <w:vAlign w:val="bottom"/>
            <w:hideMark/>
          </w:tcPr>
          <w:p w14:paraId="3125FCF5"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0.3%</w:t>
            </w:r>
          </w:p>
        </w:tc>
        <w:tc>
          <w:tcPr>
            <w:tcW w:w="1322" w:type="dxa"/>
            <w:tcBorders>
              <w:top w:val="nil"/>
              <w:left w:val="nil"/>
              <w:bottom w:val="single" w:sz="4" w:space="0" w:color="A6A6A6"/>
              <w:right w:val="single" w:sz="4" w:space="0" w:color="A6A6A6"/>
            </w:tcBorders>
            <w:shd w:val="clear" w:color="auto" w:fill="auto"/>
            <w:noWrap/>
            <w:vAlign w:val="bottom"/>
            <w:hideMark/>
          </w:tcPr>
          <w:p w14:paraId="196609D0"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0.2%</w:t>
            </w:r>
          </w:p>
        </w:tc>
        <w:tc>
          <w:tcPr>
            <w:tcW w:w="1376" w:type="dxa"/>
            <w:tcBorders>
              <w:top w:val="nil"/>
              <w:left w:val="nil"/>
              <w:bottom w:val="single" w:sz="4" w:space="0" w:color="A6A6A6"/>
              <w:right w:val="single" w:sz="4" w:space="0" w:color="A6A6A6"/>
            </w:tcBorders>
            <w:shd w:val="clear" w:color="auto" w:fill="auto"/>
            <w:noWrap/>
            <w:vAlign w:val="bottom"/>
            <w:hideMark/>
          </w:tcPr>
          <w:p w14:paraId="7A933CFC"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0.2%</w:t>
            </w:r>
          </w:p>
        </w:tc>
        <w:tc>
          <w:tcPr>
            <w:tcW w:w="1260" w:type="dxa"/>
            <w:tcBorders>
              <w:top w:val="nil"/>
              <w:left w:val="nil"/>
              <w:bottom w:val="single" w:sz="4" w:space="0" w:color="A6A6A6"/>
              <w:right w:val="single" w:sz="4" w:space="0" w:color="A6A6A6"/>
            </w:tcBorders>
            <w:shd w:val="clear" w:color="auto" w:fill="auto"/>
            <w:noWrap/>
            <w:vAlign w:val="bottom"/>
            <w:hideMark/>
          </w:tcPr>
          <w:p w14:paraId="7D979A3C"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0.0%</w:t>
            </w:r>
          </w:p>
        </w:tc>
        <w:tc>
          <w:tcPr>
            <w:tcW w:w="1260" w:type="dxa"/>
            <w:tcBorders>
              <w:top w:val="nil"/>
              <w:left w:val="nil"/>
              <w:bottom w:val="single" w:sz="4" w:space="0" w:color="A6A6A6"/>
              <w:right w:val="single" w:sz="4" w:space="0" w:color="A6A6A6"/>
            </w:tcBorders>
            <w:shd w:val="clear" w:color="auto" w:fill="auto"/>
            <w:noWrap/>
            <w:vAlign w:val="bottom"/>
            <w:hideMark/>
          </w:tcPr>
          <w:p w14:paraId="3C04F864"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13.9%</w:t>
            </w:r>
          </w:p>
        </w:tc>
      </w:tr>
    </w:tbl>
    <w:p w14:paraId="18386CEE" w14:textId="77777777" w:rsidR="00B41D8B" w:rsidRPr="00382A62" w:rsidRDefault="00B41D8B" w:rsidP="007605E6">
      <w:pPr>
        <w:rPr>
          <w:rFonts w:cs="Arial"/>
          <w:szCs w:val="20"/>
        </w:rPr>
      </w:pPr>
    </w:p>
    <w:p w14:paraId="15068830" w14:textId="07BB74B1" w:rsidR="007605E6" w:rsidRPr="00382A62" w:rsidRDefault="007605E6" w:rsidP="00651363">
      <w:pPr>
        <w:spacing w:line="276" w:lineRule="auto"/>
        <w:rPr>
          <w:rFonts w:cs="Arial"/>
          <w:szCs w:val="20"/>
        </w:rPr>
      </w:pPr>
      <w:r w:rsidRPr="00382A62">
        <w:rPr>
          <w:rFonts w:cs="Arial"/>
          <w:szCs w:val="20"/>
        </w:rPr>
        <w:t>Para el periodo 202</w:t>
      </w:r>
      <w:r w:rsidR="00E652F6" w:rsidRPr="00382A62">
        <w:rPr>
          <w:rFonts w:cs="Arial"/>
          <w:szCs w:val="20"/>
        </w:rPr>
        <w:t>3</w:t>
      </w:r>
      <w:r w:rsidRPr="00382A62">
        <w:rPr>
          <w:rFonts w:cs="Arial"/>
          <w:szCs w:val="20"/>
        </w:rPr>
        <w:t xml:space="preserve">, este indicador </w:t>
      </w:r>
      <w:r w:rsidR="0090153C" w:rsidRPr="00382A62">
        <w:rPr>
          <w:rFonts w:cs="Arial"/>
          <w:szCs w:val="20"/>
        </w:rPr>
        <w:t>se mantiene</w:t>
      </w:r>
      <w:r w:rsidR="00C11F77" w:rsidRPr="00382A62">
        <w:rPr>
          <w:rFonts w:cs="Arial"/>
          <w:szCs w:val="20"/>
        </w:rPr>
        <w:t xml:space="preserve"> en 0,2%</w:t>
      </w:r>
      <w:r w:rsidRPr="00382A62">
        <w:rPr>
          <w:rFonts w:cs="Arial"/>
          <w:szCs w:val="20"/>
        </w:rPr>
        <w:t>, producto de las estrategias pla</w:t>
      </w:r>
      <w:r w:rsidR="00E611EA" w:rsidRPr="00382A62">
        <w:rPr>
          <w:rFonts w:cs="Arial"/>
          <w:szCs w:val="20"/>
        </w:rPr>
        <w:t>n</w:t>
      </w:r>
      <w:r w:rsidRPr="00382A62">
        <w:rPr>
          <w:rFonts w:cs="Arial"/>
          <w:szCs w:val="20"/>
        </w:rPr>
        <w:t>teadas por la compañía para la recuperación de cartera y el incremento en ventas.</w:t>
      </w:r>
    </w:p>
    <w:p w14:paraId="4DA11EE2" w14:textId="77777777" w:rsidR="007605E6" w:rsidRPr="00382A62" w:rsidRDefault="007605E6" w:rsidP="007605E6">
      <w:pPr>
        <w:pStyle w:val="Prrafodelista"/>
        <w:numPr>
          <w:ilvl w:val="0"/>
          <w:numId w:val="21"/>
        </w:numPr>
        <w:rPr>
          <w:rFonts w:cs="Arial"/>
          <w:b/>
          <w:bCs/>
          <w:szCs w:val="20"/>
        </w:rPr>
      </w:pPr>
      <w:r w:rsidRPr="00382A62">
        <w:rPr>
          <w:rFonts w:cs="Arial"/>
          <w:b/>
          <w:bCs/>
          <w:szCs w:val="20"/>
        </w:rPr>
        <w:t>Activos y Pasivos en Moneda Extranjera</w:t>
      </w:r>
    </w:p>
    <w:p w14:paraId="392AAA01" w14:textId="77777777" w:rsidR="007605E6" w:rsidRPr="00382A62" w:rsidRDefault="007605E6" w:rsidP="007605E6">
      <w:pPr>
        <w:rPr>
          <w:rFonts w:cs="Arial"/>
          <w:szCs w:val="20"/>
        </w:rPr>
      </w:pPr>
      <w:r w:rsidRPr="00382A62">
        <w:rPr>
          <w:rFonts w:cs="Arial"/>
          <w:szCs w:val="20"/>
        </w:rPr>
        <w:t>A continuación, se presenta un detalle de los activos y pasivos monetarios con efecto en el Estado Consolidado de Pérdidas y Ganancias y Otros Resultados, denominados en US dólares que están sujetos a riesgo de tipo de cambio para los últimos dos años.</w:t>
      </w:r>
    </w:p>
    <w:p w14:paraId="4B28CA31" w14:textId="77777777" w:rsidR="00E652F6" w:rsidRPr="00382A62" w:rsidRDefault="00E652F6" w:rsidP="007605E6">
      <w:pPr>
        <w:rPr>
          <w:rFonts w:cs="Arial"/>
          <w:szCs w:val="20"/>
        </w:rPr>
      </w:pPr>
    </w:p>
    <w:p w14:paraId="4870BAA9" w14:textId="77777777" w:rsidR="00E652F6" w:rsidRDefault="00E652F6" w:rsidP="007605E6">
      <w:pPr>
        <w:rPr>
          <w:rFonts w:cs="Arial"/>
          <w:szCs w:val="20"/>
        </w:rPr>
      </w:pPr>
    </w:p>
    <w:p w14:paraId="32815F58" w14:textId="77777777" w:rsidR="00476CBE" w:rsidRDefault="00476CBE" w:rsidP="007605E6">
      <w:pPr>
        <w:rPr>
          <w:rFonts w:cs="Arial"/>
          <w:szCs w:val="20"/>
        </w:rPr>
      </w:pPr>
    </w:p>
    <w:p w14:paraId="5C06FA5F" w14:textId="77777777" w:rsidR="00476CBE" w:rsidRDefault="00476CBE" w:rsidP="007605E6">
      <w:pPr>
        <w:rPr>
          <w:rFonts w:cs="Arial"/>
          <w:szCs w:val="20"/>
        </w:rPr>
      </w:pPr>
    </w:p>
    <w:p w14:paraId="778B21AA" w14:textId="652733C3" w:rsidR="007605E6" w:rsidRPr="00382A62" w:rsidRDefault="007605E6" w:rsidP="007605E6">
      <w:pPr>
        <w:pStyle w:val="Descripcin"/>
        <w:rPr>
          <w:rFonts w:cs="Arial"/>
          <w:szCs w:val="20"/>
        </w:rPr>
      </w:pPr>
      <w:bookmarkStart w:id="87" w:name="_Toc169624720"/>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24</w:t>
      </w:r>
      <w:r w:rsidR="00423C23" w:rsidRPr="00382A62">
        <w:rPr>
          <w:rFonts w:cs="Arial"/>
          <w:noProof/>
          <w:szCs w:val="20"/>
        </w:rPr>
        <w:fldChar w:fldCharType="end"/>
      </w:r>
      <w:r w:rsidRPr="00382A62">
        <w:rPr>
          <w:rFonts w:cs="Arial"/>
          <w:szCs w:val="20"/>
        </w:rPr>
        <w:t xml:space="preserve"> - Activos y Pasivos en Moneda Extranjera</w:t>
      </w:r>
      <w:bookmarkEnd w:id="87"/>
    </w:p>
    <w:tbl>
      <w:tblPr>
        <w:tblW w:w="793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3920"/>
        <w:gridCol w:w="2006"/>
        <w:gridCol w:w="2007"/>
      </w:tblGrid>
      <w:tr w:rsidR="00E652F6" w:rsidRPr="00382A62" w14:paraId="4937DA7F" w14:textId="77777777" w:rsidTr="00B3667B">
        <w:trPr>
          <w:trHeight w:val="319"/>
          <w:jc w:val="center"/>
        </w:trPr>
        <w:tc>
          <w:tcPr>
            <w:tcW w:w="3920" w:type="dxa"/>
            <w:vMerge w:val="restart"/>
            <w:shd w:val="clear" w:color="auto" w:fill="F2F2F2" w:themeFill="background1" w:themeFillShade="F2"/>
            <w:noWrap/>
            <w:vAlign w:val="center"/>
            <w:hideMark/>
          </w:tcPr>
          <w:p w14:paraId="0407FAAD" w14:textId="77777777" w:rsidR="00E652F6" w:rsidRPr="00382A62" w:rsidRDefault="00E652F6" w:rsidP="00B3667B">
            <w:pPr>
              <w:spacing w:line="276" w:lineRule="auto"/>
              <w:contextualSpacing/>
              <w:jc w:val="center"/>
              <w:rPr>
                <w:rFonts w:cs="Arial"/>
                <w:b/>
                <w:bCs/>
                <w:szCs w:val="20"/>
              </w:rPr>
            </w:pPr>
            <w:r w:rsidRPr="00382A62">
              <w:rPr>
                <w:rFonts w:cs="Arial"/>
                <w:b/>
                <w:bCs/>
                <w:szCs w:val="20"/>
              </w:rPr>
              <w:t>Rubros</w:t>
            </w:r>
          </w:p>
        </w:tc>
        <w:tc>
          <w:tcPr>
            <w:tcW w:w="4013" w:type="dxa"/>
            <w:gridSpan w:val="2"/>
            <w:shd w:val="clear" w:color="auto" w:fill="F2F2F2" w:themeFill="background1" w:themeFillShade="F2"/>
            <w:noWrap/>
            <w:vAlign w:val="center"/>
            <w:hideMark/>
          </w:tcPr>
          <w:p w14:paraId="41287C5D" w14:textId="77777777" w:rsidR="00E652F6" w:rsidRPr="00382A62" w:rsidRDefault="00E652F6" w:rsidP="00B3667B">
            <w:pPr>
              <w:spacing w:line="276" w:lineRule="auto"/>
              <w:contextualSpacing/>
              <w:jc w:val="center"/>
              <w:rPr>
                <w:rFonts w:cs="Arial"/>
                <w:b/>
                <w:bCs/>
                <w:szCs w:val="20"/>
              </w:rPr>
            </w:pPr>
            <w:r w:rsidRPr="00382A62">
              <w:rPr>
                <w:rFonts w:cs="Arial"/>
                <w:b/>
                <w:bCs/>
                <w:szCs w:val="20"/>
              </w:rPr>
              <w:t>En miles de dólares</w:t>
            </w:r>
            <w:r w:rsidRPr="00382A62">
              <w:rPr>
                <w:rStyle w:val="Refdenotaalpie"/>
                <w:rFonts w:cs="Arial"/>
                <w:b/>
                <w:bCs/>
                <w:szCs w:val="20"/>
              </w:rPr>
              <w:footnoteReference w:id="4"/>
            </w:r>
          </w:p>
        </w:tc>
      </w:tr>
      <w:tr w:rsidR="00E652F6" w:rsidRPr="00382A62" w14:paraId="10B9850D" w14:textId="77777777" w:rsidTr="00B3667B">
        <w:trPr>
          <w:trHeight w:val="255"/>
          <w:jc w:val="center"/>
        </w:trPr>
        <w:tc>
          <w:tcPr>
            <w:tcW w:w="3920" w:type="dxa"/>
            <w:vMerge/>
            <w:shd w:val="clear" w:color="auto" w:fill="F2F2F2" w:themeFill="background1" w:themeFillShade="F2"/>
            <w:vAlign w:val="center"/>
            <w:hideMark/>
          </w:tcPr>
          <w:p w14:paraId="7EC60463" w14:textId="77777777" w:rsidR="00E652F6" w:rsidRPr="00382A62" w:rsidRDefault="00E652F6" w:rsidP="00B3667B">
            <w:pPr>
              <w:spacing w:line="276" w:lineRule="auto"/>
              <w:contextualSpacing/>
              <w:jc w:val="center"/>
              <w:rPr>
                <w:rFonts w:cs="Arial"/>
                <w:b/>
                <w:bCs/>
                <w:szCs w:val="20"/>
              </w:rPr>
            </w:pPr>
          </w:p>
        </w:tc>
        <w:tc>
          <w:tcPr>
            <w:tcW w:w="2006" w:type="dxa"/>
            <w:shd w:val="clear" w:color="auto" w:fill="F2F2F2" w:themeFill="background1" w:themeFillShade="F2"/>
            <w:noWrap/>
            <w:vAlign w:val="center"/>
            <w:hideMark/>
          </w:tcPr>
          <w:p w14:paraId="0DA34A65" w14:textId="77777777" w:rsidR="00E652F6" w:rsidRPr="00382A62" w:rsidRDefault="00E652F6" w:rsidP="00B3667B">
            <w:pPr>
              <w:spacing w:line="276" w:lineRule="auto"/>
              <w:contextualSpacing/>
              <w:jc w:val="center"/>
              <w:rPr>
                <w:rFonts w:cs="Arial"/>
                <w:b/>
                <w:bCs/>
                <w:szCs w:val="20"/>
              </w:rPr>
            </w:pPr>
            <w:r w:rsidRPr="00382A62">
              <w:rPr>
                <w:rFonts w:cs="Arial"/>
                <w:b/>
                <w:bCs/>
                <w:szCs w:val="20"/>
              </w:rPr>
              <w:t>2022</w:t>
            </w:r>
          </w:p>
        </w:tc>
        <w:tc>
          <w:tcPr>
            <w:tcW w:w="2007" w:type="dxa"/>
            <w:shd w:val="clear" w:color="auto" w:fill="F2F2F2" w:themeFill="background1" w:themeFillShade="F2"/>
            <w:noWrap/>
            <w:vAlign w:val="center"/>
            <w:hideMark/>
          </w:tcPr>
          <w:p w14:paraId="4C69C50E" w14:textId="77777777" w:rsidR="00E652F6" w:rsidRPr="00382A62" w:rsidRDefault="00E652F6" w:rsidP="00B3667B">
            <w:pPr>
              <w:spacing w:line="276" w:lineRule="auto"/>
              <w:contextualSpacing/>
              <w:jc w:val="center"/>
              <w:rPr>
                <w:rFonts w:cs="Arial"/>
                <w:b/>
                <w:bCs/>
                <w:szCs w:val="20"/>
              </w:rPr>
            </w:pPr>
            <w:r w:rsidRPr="00382A62">
              <w:rPr>
                <w:rFonts w:cs="Arial"/>
                <w:b/>
                <w:bCs/>
                <w:szCs w:val="20"/>
              </w:rPr>
              <w:t>2023</w:t>
            </w:r>
          </w:p>
        </w:tc>
      </w:tr>
      <w:tr w:rsidR="00E652F6" w:rsidRPr="00382A62" w14:paraId="72D64F50" w14:textId="77777777" w:rsidTr="00B3667B">
        <w:trPr>
          <w:trHeight w:val="255"/>
          <w:jc w:val="center"/>
        </w:trPr>
        <w:tc>
          <w:tcPr>
            <w:tcW w:w="7933" w:type="dxa"/>
            <w:gridSpan w:val="3"/>
            <w:shd w:val="clear" w:color="auto" w:fill="auto"/>
            <w:noWrap/>
            <w:vAlign w:val="center"/>
            <w:hideMark/>
          </w:tcPr>
          <w:p w14:paraId="38320AD5" w14:textId="77777777" w:rsidR="00E652F6" w:rsidRPr="00382A62" w:rsidRDefault="00E652F6" w:rsidP="00B3667B">
            <w:pPr>
              <w:spacing w:line="276" w:lineRule="auto"/>
              <w:contextualSpacing/>
              <w:jc w:val="center"/>
              <w:rPr>
                <w:rFonts w:cs="Arial"/>
                <w:b/>
                <w:bCs/>
                <w:szCs w:val="20"/>
              </w:rPr>
            </w:pPr>
            <w:r w:rsidRPr="00382A62">
              <w:rPr>
                <w:rFonts w:cs="Arial"/>
                <w:b/>
                <w:bCs/>
                <w:szCs w:val="20"/>
              </w:rPr>
              <w:t>Activos</w:t>
            </w:r>
          </w:p>
        </w:tc>
      </w:tr>
      <w:tr w:rsidR="00E652F6" w:rsidRPr="00382A62" w14:paraId="13C026C0" w14:textId="77777777" w:rsidTr="00B3667B">
        <w:trPr>
          <w:trHeight w:val="255"/>
          <w:jc w:val="center"/>
        </w:trPr>
        <w:tc>
          <w:tcPr>
            <w:tcW w:w="3920" w:type="dxa"/>
            <w:shd w:val="clear" w:color="auto" w:fill="auto"/>
            <w:noWrap/>
            <w:vAlign w:val="center"/>
            <w:hideMark/>
          </w:tcPr>
          <w:p w14:paraId="22ADAA46" w14:textId="77777777" w:rsidR="00E652F6" w:rsidRPr="00382A62" w:rsidRDefault="00E652F6" w:rsidP="00B3667B">
            <w:pPr>
              <w:spacing w:line="276" w:lineRule="auto"/>
              <w:contextualSpacing/>
              <w:rPr>
                <w:rFonts w:cs="Arial"/>
                <w:szCs w:val="20"/>
              </w:rPr>
            </w:pPr>
            <w:r w:rsidRPr="00382A62">
              <w:rPr>
                <w:rFonts w:cs="Arial"/>
                <w:szCs w:val="20"/>
              </w:rPr>
              <w:t>Efectivo y equivalentes de efectivo</w:t>
            </w:r>
          </w:p>
        </w:tc>
        <w:tc>
          <w:tcPr>
            <w:tcW w:w="2006" w:type="dxa"/>
            <w:shd w:val="clear" w:color="auto" w:fill="auto"/>
            <w:noWrap/>
            <w:vAlign w:val="center"/>
          </w:tcPr>
          <w:p w14:paraId="7B69FCCB" w14:textId="77777777" w:rsidR="00E652F6" w:rsidRPr="00382A62" w:rsidRDefault="00E652F6" w:rsidP="00B3667B">
            <w:pPr>
              <w:spacing w:line="276" w:lineRule="auto"/>
              <w:contextualSpacing/>
              <w:jc w:val="center"/>
              <w:rPr>
                <w:rFonts w:cs="Arial"/>
                <w:szCs w:val="20"/>
              </w:rPr>
            </w:pPr>
            <w:r w:rsidRPr="00382A62">
              <w:rPr>
                <w:rFonts w:cs="Arial"/>
                <w:szCs w:val="20"/>
              </w:rPr>
              <w:t>18.699</w:t>
            </w:r>
          </w:p>
        </w:tc>
        <w:tc>
          <w:tcPr>
            <w:tcW w:w="2007" w:type="dxa"/>
            <w:shd w:val="clear" w:color="auto" w:fill="auto"/>
            <w:noWrap/>
            <w:vAlign w:val="center"/>
          </w:tcPr>
          <w:p w14:paraId="2C13EEE2" w14:textId="77777777" w:rsidR="00E652F6" w:rsidRPr="00382A62" w:rsidRDefault="00E652F6" w:rsidP="00B3667B">
            <w:pPr>
              <w:spacing w:line="276" w:lineRule="auto"/>
              <w:contextualSpacing/>
              <w:jc w:val="center"/>
              <w:rPr>
                <w:rFonts w:cs="Arial"/>
                <w:szCs w:val="20"/>
              </w:rPr>
            </w:pPr>
            <w:r w:rsidRPr="00382A62">
              <w:rPr>
                <w:rFonts w:cs="Arial"/>
                <w:szCs w:val="20"/>
              </w:rPr>
              <w:t>17.349</w:t>
            </w:r>
          </w:p>
        </w:tc>
      </w:tr>
      <w:tr w:rsidR="00E652F6" w:rsidRPr="00382A62" w14:paraId="65050407" w14:textId="77777777" w:rsidTr="00B3667B">
        <w:trPr>
          <w:trHeight w:val="255"/>
          <w:jc w:val="center"/>
        </w:trPr>
        <w:tc>
          <w:tcPr>
            <w:tcW w:w="3920" w:type="dxa"/>
            <w:shd w:val="clear" w:color="auto" w:fill="auto"/>
            <w:noWrap/>
            <w:vAlign w:val="center"/>
            <w:hideMark/>
          </w:tcPr>
          <w:p w14:paraId="4D9B54A3" w14:textId="77777777" w:rsidR="00E652F6" w:rsidRPr="00382A62" w:rsidRDefault="00E652F6" w:rsidP="00B3667B">
            <w:pPr>
              <w:spacing w:line="276" w:lineRule="auto"/>
              <w:contextualSpacing/>
              <w:rPr>
                <w:rFonts w:cs="Arial"/>
                <w:szCs w:val="20"/>
              </w:rPr>
            </w:pPr>
            <w:r w:rsidRPr="00382A62">
              <w:rPr>
                <w:rFonts w:cs="Arial"/>
                <w:szCs w:val="20"/>
              </w:rPr>
              <w:t>Inversiones en instrumentos financieros</w:t>
            </w:r>
          </w:p>
        </w:tc>
        <w:tc>
          <w:tcPr>
            <w:tcW w:w="2006" w:type="dxa"/>
            <w:shd w:val="clear" w:color="auto" w:fill="auto"/>
            <w:noWrap/>
            <w:vAlign w:val="center"/>
          </w:tcPr>
          <w:p w14:paraId="5B0AD697" w14:textId="77777777" w:rsidR="00E652F6" w:rsidRPr="00382A62" w:rsidRDefault="00E652F6" w:rsidP="00B3667B">
            <w:pPr>
              <w:spacing w:line="276" w:lineRule="auto"/>
              <w:contextualSpacing/>
              <w:jc w:val="center"/>
              <w:rPr>
                <w:rFonts w:cs="Arial"/>
                <w:szCs w:val="20"/>
              </w:rPr>
            </w:pPr>
            <w:r w:rsidRPr="00382A62">
              <w:rPr>
                <w:rFonts w:cs="Arial"/>
                <w:szCs w:val="20"/>
              </w:rPr>
              <w:t>-</w:t>
            </w:r>
          </w:p>
        </w:tc>
        <w:tc>
          <w:tcPr>
            <w:tcW w:w="2007" w:type="dxa"/>
            <w:shd w:val="clear" w:color="auto" w:fill="auto"/>
            <w:noWrap/>
            <w:vAlign w:val="center"/>
          </w:tcPr>
          <w:p w14:paraId="49D755D7" w14:textId="77777777" w:rsidR="00E652F6" w:rsidRPr="00382A62" w:rsidRDefault="00E652F6" w:rsidP="00B3667B">
            <w:pPr>
              <w:spacing w:line="276" w:lineRule="auto"/>
              <w:contextualSpacing/>
              <w:jc w:val="center"/>
              <w:rPr>
                <w:rFonts w:cs="Arial"/>
                <w:szCs w:val="20"/>
              </w:rPr>
            </w:pPr>
            <w:r w:rsidRPr="00382A62">
              <w:rPr>
                <w:rFonts w:cs="Arial"/>
                <w:szCs w:val="20"/>
              </w:rPr>
              <w:t>-</w:t>
            </w:r>
          </w:p>
        </w:tc>
      </w:tr>
      <w:tr w:rsidR="00E652F6" w:rsidRPr="00382A62" w14:paraId="059DD467" w14:textId="77777777" w:rsidTr="00B3667B">
        <w:trPr>
          <w:trHeight w:val="255"/>
          <w:jc w:val="center"/>
        </w:trPr>
        <w:tc>
          <w:tcPr>
            <w:tcW w:w="3920" w:type="dxa"/>
            <w:shd w:val="clear" w:color="auto" w:fill="auto"/>
            <w:noWrap/>
            <w:vAlign w:val="center"/>
            <w:hideMark/>
          </w:tcPr>
          <w:p w14:paraId="0C78621A" w14:textId="77777777" w:rsidR="00E652F6" w:rsidRPr="00382A62" w:rsidRDefault="00E652F6" w:rsidP="00B3667B">
            <w:pPr>
              <w:spacing w:line="276" w:lineRule="auto"/>
              <w:contextualSpacing/>
              <w:rPr>
                <w:rFonts w:cs="Arial"/>
                <w:szCs w:val="20"/>
              </w:rPr>
            </w:pPr>
            <w:r w:rsidRPr="00382A62">
              <w:rPr>
                <w:rFonts w:cs="Arial"/>
                <w:szCs w:val="20"/>
              </w:rPr>
              <w:t>Documentos y cuentas por cobrar, neto</w:t>
            </w:r>
          </w:p>
        </w:tc>
        <w:tc>
          <w:tcPr>
            <w:tcW w:w="2006" w:type="dxa"/>
            <w:shd w:val="clear" w:color="auto" w:fill="auto"/>
            <w:noWrap/>
            <w:vAlign w:val="center"/>
          </w:tcPr>
          <w:p w14:paraId="015845F5" w14:textId="77777777" w:rsidR="00E652F6" w:rsidRPr="00382A62" w:rsidRDefault="00E652F6" w:rsidP="00B3667B">
            <w:pPr>
              <w:spacing w:line="276" w:lineRule="auto"/>
              <w:contextualSpacing/>
              <w:jc w:val="center"/>
              <w:rPr>
                <w:rFonts w:cs="Arial"/>
                <w:szCs w:val="20"/>
              </w:rPr>
            </w:pPr>
            <w:r w:rsidRPr="00382A62">
              <w:rPr>
                <w:rFonts w:cs="Arial"/>
                <w:szCs w:val="20"/>
              </w:rPr>
              <w:t>21.844</w:t>
            </w:r>
          </w:p>
        </w:tc>
        <w:tc>
          <w:tcPr>
            <w:tcW w:w="2007" w:type="dxa"/>
            <w:shd w:val="clear" w:color="auto" w:fill="auto"/>
            <w:noWrap/>
            <w:vAlign w:val="center"/>
          </w:tcPr>
          <w:p w14:paraId="3280788F" w14:textId="77777777" w:rsidR="00E652F6" w:rsidRPr="00382A62" w:rsidRDefault="00E652F6" w:rsidP="00B3667B">
            <w:pPr>
              <w:spacing w:line="276" w:lineRule="auto"/>
              <w:contextualSpacing/>
              <w:jc w:val="center"/>
              <w:rPr>
                <w:rFonts w:cs="Arial"/>
                <w:szCs w:val="20"/>
              </w:rPr>
            </w:pPr>
            <w:r w:rsidRPr="00382A62">
              <w:rPr>
                <w:rFonts w:cs="Arial"/>
                <w:szCs w:val="20"/>
              </w:rPr>
              <w:t>27.567</w:t>
            </w:r>
          </w:p>
        </w:tc>
      </w:tr>
      <w:tr w:rsidR="00E652F6" w:rsidRPr="00382A62" w14:paraId="54447F9C" w14:textId="77777777" w:rsidTr="00B3667B">
        <w:trPr>
          <w:trHeight w:val="255"/>
          <w:jc w:val="center"/>
        </w:trPr>
        <w:tc>
          <w:tcPr>
            <w:tcW w:w="3920" w:type="dxa"/>
            <w:shd w:val="clear" w:color="auto" w:fill="auto"/>
            <w:noWrap/>
            <w:vAlign w:val="center"/>
            <w:hideMark/>
          </w:tcPr>
          <w:p w14:paraId="12EA3937" w14:textId="77777777" w:rsidR="00E652F6" w:rsidRPr="00382A62" w:rsidRDefault="00E652F6" w:rsidP="00B3667B">
            <w:pPr>
              <w:spacing w:line="276" w:lineRule="auto"/>
              <w:contextualSpacing/>
              <w:rPr>
                <w:rFonts w:cs="Arial"/>
                <w:b/>
                <w:bCs/>
                <w:szCs w:val="20"/>
              </w:rPr>
            </w:pPr>
            <w:r w:rsidRPr="00382A62">
              <w:rPr>
                <w:rFonts w:cs="Arial"/>
                <w:b/>
                <w:bCs/>
                <w:szCs w:val="20"/>
              </w:rPr>
              <w:t>Total de activos</w:t>
            </w:r>
          </w:p>
        </w:tc>
        <w:tc>
          <w:tcPr>
            <w:tcW w:w="2006" w:type="dxa"/>
            <w:shd w:val="clear" w:color="auto" w:fill="auto"/>
            <w:noWrap/>
            <w:vAlign w:val="center"/>
          </w:tcPr>
          <w:p w14:paraId="3EA1C13E" w14:textId="77777777" w:rsidR="00E652F6" w:rsidRPr="00382A62" w:rsidRDefault="00E652F6" w:rsidP="00B3667B">
            <w:pPr>
              <w:spacing w:line="276" w:lineRule="auto"/>
              <w:contextualSpacing/>
              <w:jc w:val="center"/>
              <w:rPr>
                <w:rFonts w:cs="Arial"/>
                <w:b/>
                <w:bCs/>
                <w:szCs w:val="20"/>
              </w:rPr>
            </w:pPr>
            <w:r w:rsidRPr="00382A62">
              <w:rPr>
                <w:rFonts w:cs="Arial"/>
                <w:b/>
                <w:bCs/>
                <w:szCs w:val="20"/>
              </w:rPr>
              <w:t>40.543</w:t>
            </w:r>
          </w:p>
        </w:tc>
        <w:tc>
          <w:tcPr>
            <w:tcW w:w="2007" w:type="dxa"/>
            <w:shd w:val="clear" w:color="auto" w:fill="auto"/>
            <w:noWrap/>
            <w:vAlign w:val="center"/>
          </w:tcPr>
          <w:p w14:paraId="5E7F49F1" w14:textId="77777777" w:rsidR="00E652F6" w:rsidRPr="00382A62" w:rsidRDefault="00E652F6" w:rsidP="00B3667B">
            <w:pPr>
              <w:spacing w:line="276" w:lineRule="auto"/>
              <w:contextualSpacing/>
              <w:jc w:val="center"/>
              <w:rPr>
                <w:rFonts w:cs="Arial"/>
                <w:b/>
                <w:bCs/>
                <w:szCs w:val="20"/>
              </w:rPr>
            </w:pPr>
            <w:r w:rsidRPr="00382A62">
              <w:rPr>
                <w:rFonts w:cs="Arial"/>
                <w:b/>
                <w:bCs/>
                <w:szCs w:val="20"/>
              </w:rPr>
              <w:t>44.916</w:t>
            </w:r>
          </w:p>
        </w:tc>
      </w:tr>
      <w:tr w:rsidR="00E652F6" w:rsidRPr="00382A62" w14:paraId="57DFD4B0" w14:textId="77777777" w:rsidTr="00B3667B">
        <w:trPr>
          <w:trHeight w:val="255"/>
          <w:jc w:val="center"/>
        </w:trPr>
        <w:tc>
          <w:tcPr>
            <w:tcW w:w="7933" w:type="dxa"/>
            <w:gridSpan w:val="3"/>
            <w:shd w:val="clear" w:color="auto" w:fill="auto"/>
            <w:noWrap/>
            <w:vAlign w:val="center"/>
            <w:hideMark/>
          </w:tcPr>
          <w:p w14:paraId="62E07470" w14:textId="77777777" w:rsidR="00E652F6" w:rsidRPr="00382A62" w:rsidRDefault="00E652F6" w:rsidP="00B3667B">
            <w:pPr>
              <w:spacing w:line="276" w:lineRule="auto"/>
              <w:contextualSpacing/>
              <w:jc w:val="center"/>
              <w:rPr>
                <w:rFonts w:cs="Arial"/>
                <w:b/>
                <w:bCs/>
                <w:szCs w:val="20"/>
              </w:rPr>
            </w:pPr>
            <w:r w:rsidRPr="00382A62">
              <w:rPr>
                <w:rFonts w:cs="Arial"/>
                <w:b/>
                <w:bCs/>
                <w:szCs w:val="20"/>
              </w:rPr>
              <w:t>Pasivos</w:t>
            </w:r>
          </w:p>
        </w:tc>
      </w:tr>
      <w:tr w:rsidR="00E652F6" w:rsidRPr="00382A62" w14:paraId="0804B4A8" w14:textId="77777777" w:rsidTr="00B3667B">
        <w:trPr>
          <w:trHeight w:val="255"/>
          <w:jc w:val="center"/>
        </w:trPr>
        <w:tc>
          <w:tcPr>
            <w:tcW w:w="3920" w:type="dxa"/>
            <w:shd w:val="clear" w:color="auto" w:fill="auto"/>
            <w:noWrap/>
            <w:vAlign w:val="center"/>
            <w:hideMark/>
          </w:tcPr>
          <w:p w14:paraId="40EF4246" w14:textId="77777777" w:rsidR="00E652F6" w:rsidRPr="00382A62" w:rsidRDefault="00E652F6" w:rsidP="00B3667B">
            <w:pPr>
              <w:spacing w:line="276" w:lineRule="auto"/>
              <w:contextualSpacing/>
              <w:rPr>
                <w:rFonts w:cs="Arial"/>
                <w:szCs w:val="20"/>
              </w:rPr>
            </w:pPr>
            <w:r w:rsidRPr="00382A62">
              <w:rPr>
                <w:rFonts w:cs="Arial"/>
                <w:szCs w:val="20"/>
              </w:rPr>
              <w:t>Préstamos bancarios</w:t>
            </w:r>
          </w:p>
        </w:tc>
        <w:tc>
          <w:tcPr>
            <w:tcW w:w="2006" w:type="dxa"/>
            <w:shd w:val="clear" w:color="auto" w:fill="auto"/>
            <w:noWrap/>
            <w:vAlign w:val="center"/>
          </w:tcPr>
          <w:p w14:paraId="35CE4535" w14:textId="77777777" w:rsidR="00E652F6" w:rsidRPr="00382A62" w:rsidRDefault="00E652F6" w:rsidP="00B3667B">
            <w:pPr>
              <w:spacing w:line="276" w:lineRule="auto"/>
              <w:contextualSpacing/>
              <w:jc w:val="center"/>
              <w:rPr>
                <w:rFonts w:cs="Arial"/>
                <w:szCs w:val="20"/>
              </w:rPr>
            </w:pPr>
            <w:r w:rsidRPr="00382A62">
              <w:rPr>
                <w:rFonts w:cs="Arial"/>
                <w:szCs w:val="20"/>
              </w:rPr>
              <w:t>81.540</w:t>
            </w:r>
          </w:p>
        </w:tc>
        <w:tc>
          <w:tcPr>
            <w:tcW w:w="2007" w:type="dxa"/>
            <w:shd w:val="clear" w:color="auto" w:fill="auto"/>
            <w:noWrap/>
            <w:vAlign w:val="center"/>
          </w:tcPr>
          <w:p w14:paraId="4541CA8F" w14:textId="77777777" w:rsidR="00E652F6" w:rsidRPr="00382A62" w:rsidRDefault="00E652F6" w:rsidP="00B3667B">
            <w:pPr>
              <w:spacing w:line="276" w:lineRule="auto"/>
              <w:contextualSpacing/>
              <w:jc w:val="center"/>
              <w:rPr>
                <w:rFonts w:cs="Arial"/>
                <w:szCs w:val="20"/>
              </w:rPr>
            </w:pPr>
            <w:r w:rsidRPr="00382A62">
              <w:rPr>
                <w:rFonts w:cs="Arial"/>
                <w:szCs w:val="20"/>
              </w:rPr>
              <w:t>83.580</w:t>
            </w:r>
          </w:p>
        </w:tc>
      </w:tr>
      <w:tr w:rsidR="00E652F6" w:rsidRPr="00382A62" w14:paraId="5BCD2F1D" w14:textId="77777777" w:rsidTr="00B3667B">
        <w:trPr>
          <w:trHeight w:val="255"/>
          <w:jc w:val="center"/>
        </w:trPr>
        <w:tc>
          <w:tcPr>
            <w:tcW w:w="3920" w:type="dxa"/>
            <w:shd w:val="clear" w:color="auto" w:fill="auto"/>
            <w:noWrap/>
            <w:vAlign w:val="center"/>
          </w:tcPr>
          <w:p w14:paraId="3793494E" w14:textId="77777777" w:rsidR="00E652F6" w:rsidRPr="00382A62" w:rsidRDefault="00E652F6" w:rsidP="00B3667B">
            <w:pPr>
              <w:spacing w:line="276" w:lineRule="auto"/>
              <w:contextualSpacing/>
              <w:rPr>
                <w:rFonts w:cs="Arial"/>
                <w:szCs w:val="20"/>
              </w:rPr>
            </w:pPr>
            <w:r w:rsidRPr="00382A62">
              <w:rPr>
                <w:rFonts w:cs="Arial"/>
                <w:szCs w:val="20"/>
              </w:rPr>
              <w:t>Pasivos bajo arrendamiento</w:t>
            </w:r>
          </w:p>
        </w:tc>
        <w:tc>
          <w:tcPr>
            <w:tcW w:w="2006" w:type="dxa"/>
            <w:shd w:val="clear" w:color="auto" w:fill="auto"/>
            <w:noWrap/>
            <w:vAlign w:val="center"/>
          </w:tcPr>
          <w:p w14:paraId="286FF8A0" w14:textId="77777777" w:rsidR="00E652F6" w:rsidRPr="00382A62" w:rsidRDefault="00E652F6" w:rsidP="00B3667B">
            <w:pPr>
              <w:spacing w:line="276" w:lineRule="auto"/>
              <w:contextualSpacing/>
              <w:jc w:val="center"/>
              <w:rPr>
                <w:rFonts w:cs="Arial"/>
                <w:szCs w:val="20"/>
              </w:rPr>
            </w:pPr>
            <w:r w:rsidRPr="00382A62">
              <w:rPr>
                <w:rFonts w:cs="Arial"/>
                <w:szCs w:val="20"/>
              </w:rPr>
              <w:t>26.122</w:t>
            </w:r>
          </w:p>
        </w:tc>
        <w:tc>
          <w:tcPr>
            <w:tcW w:w="2007" w:type="dxa"/>
            <w:shd w:val="clear" w:color="auto" w:fill="auto"/>
            <w:noWrap/>
            <w:vAlign w:val="center"/>
          </w:tcPr>
          <w:p w14:paraId="6AA1C9F2" w14:textId="77777777" w:rsidR="00E652F6" w:rsidRPr="00382A62" w:rsidRDefault="00E652F6" w:rsidP="00B3667B">
            <w:pPr>
              <w:spacing w:line="276" w:lineRule="auto"/>
              <w:contextualSpacing/>
              <w:jc w:val="center"/>
              <w:rPr>
                <w:rFonts w:cs="Arial"/>
                <w:szCs w:val="20"/>
              </w:rPr>
            </w:pPr>
            <w:r w:rsidRPr="00382A62">
              <w:rPr>
                <w:rFonts w:cs="Arial"/>
                <w:szCs w:val="20"/>
              </w:rPr>
              <w:t>27.466</w:t>
            </w:r>
          </w:p>
        </w:tc>
      </w:tr>
      <w:tr w:rsidR="00E652F6" w:rsidRPr="00382A62" w14:paraId="32142526" w14:textId="77777777" w:rsidTr="00B3667B">
        <w:trPr>
          <w:trHeight w:val="255"/>
          <w:jc w:val="center"/>
        </w:trPr>
        <w:tc>
          <w:tcPr>
            <w:tcW w:w="3920" w:type="dxa"/>
            <w:shd w:val="clear" w:color="auto" w:fill="auto"/>
            <w:noWrap/>
            <w:vAlign w:val="center"/>
            <w:hideMark/>
          </w:tcPr>
          <w:p w14:paraId="69956272" w14:textId="77777777" w:rsidR="00E652F6" w:rsidRPr="00382A62" w:rsidRDefault="00E652F6" w:rsidP="00B3667B">
            <w:pPr>
              <w:spacing w:line="276" w:lineRule="auto"/>
              <w:contextualSpacing/>
              <w:rPr>
                <w:rFonts w:cs="Arial"/>
                <w:szCs w:val="20"/>
              </w:rPr>
            </w:pPr>
            <w:r w:rsidRPr="00382A62">
              <w:rPr>
                <w:rFonts w:cs="Arial"/>
                <w:szCs w:val="20"/>
              </w:rPr>
              <w:t>Cuentas por pagar</w:t>
            </w:r>
          </w:p>
        </w:tc>
        <w:tc>
          <w:tcPr>
            <w:tcW w:w="2006" w:type="dxa"/>
            <w:shd w:val="clear" w:color="auto" w:fill="auto"/>
            <w:noWrap/>
            <w:vAlign w:val="center"/>
          </w:tcPr>
          <w:p w14:paraId="22EE935F" w14:textId="77777777" w:rsidR="00E652F6" w:rsidRPr="00382A62" w:rsidRDefault="00E652F6" w:rsidP="00B3667B">
            <w:pPr>
              <w:spacing w:line="276" w:lineRule="auto"/>
              <w:contextualSpacing/>
              <w:jc w:val="center"/>
              <w:rPr>
                <w:rFonts w:cs="Arial"/>
                <w:szCs w:val="20"/>
              </w:rPr>
            </w:pPr>
            <w:r w:rsidRPr="00382A62">
              <w:rPr>
                <w:rFonts w:cs="Arial"/>
                <w:szCs w:val="20"/>
              </w:rPr>
              <w:t>70.610</w:t>
            </w:r>
          </w:p>
        </w:tc>
        <w:tc>
          <w:tcPr>
            <w:tcW w:w="2007" w:type="dxa"/>
            <w:shd w:val="clear" w:color="auto" w:fill="auto"/>
            <w:noWrap/>
            <w:vAlign w:val="center"/>
          </w:tcPr>
          <w:p w14:paraId="359862D4" w14:textId="77777777" w:rsidR="00E652F6" w:rsidRPr="00382A62" w:rsidRDefault="00E652F6" w:rsidP="00B3667B">
            <w:pPr>
              <w:spacing w:line="276" w:lineRule="auto"/>
              <w:contextualSpacing/>
              <w:jc w:val="center"/>
              <w:rPr>
                <w:rFonts w:cs="Arial"/>
                <w:szCs w:val="20"/>
              </w:rPr>
            </w:pPr>
            <w:r w:rsidRPr="00382A62">
              <w:rPr>
                <w:rFonts w:cs="Arial"/>
                <w:szCs w:val="20"/>
              </w:rPr>
              <w:t>43.972</w:t>
            </w:r>
          </w:p>
        </w:tc>
      </w:tr>
      <w:tr w:rsidR="00E652F6" w:rsidRPr="00382A62" w14:paraId="67599485" w14:textId="77777777" w:rsidTr="00B3667B">
        <w:trPr>
          <w:trHeight w:val="255"/>
          <w:jc w:val="center"/>
        </w:trPr>
        <w:tc>
          <w:tcPr>
            <w:tcW w:w="3920" w:type="dxa"/>
            <w:shd w:val="clear" w:color="auto" w:fill="auto"/>
            <w:noWrap/>
            <w:vAlign w:val="center"/>
            <w:hideMark/>
          </w:tcPr>
          <w:p w14:paraId="49E1FD3E" w14:textId="77777777" w:rsidR="00E652F6" w:rsidRPr="00382A62" w:rsidRDefault="00E652F6" w:rsidP="00B3667B">
            <w:pPr>
              <w:spacing w:line="276" w:lineRule="auto"/>
              <w:contextualSpacing/>
              <w:rPr>
                <w:rFonts w:cs="Arial"/>
                <w:b/>
                <w:bCs/>
                <w:szCs w:val="20"/>
              </w:rPr>
            </w:pPr>
            <w:r w:rsidRPr="00382A62">
              <w:rPr>
                <w:rFonts w:cs="Arial"/>
                <w:b/>
                <w:bCs/>
                <w:szCs w:val="20"/>
              </w:rPr>
              <w:t>Total de pasivos</w:t>
            </w:r>
          </w:p>
        </w:tc>
        <w:tc>
          <w:tcPr>
            <w:tcW w:w="2006" w:type="dxa"/>
            <w:shd w:val="clear" w:color="auto" w:fill="auto"/>
            <w:noWrap/>
            <w:vAlign w:val="center"/>
          </w:tcPr>
          <w:p w14:paraId="7DBD1693" w14:textId="77777777" w:rsidR="00E652F6" w:rsidRPr="00382A62" w:rsidRDefault="00E652F6" w:rsidP="00B3667B">
            <w:pPr>
              <w:spacing w:line="276" w:lineRule="auto"/>
              <w:contextualSpacing/>
              <w:jc w:val="center"/>
              <w:rPr>
                <w:rFonts w:cs="Arial"/>
                <w:b/>
                <w:bCs/>
                <w:szCs w:val="20"/>
              </w:rPr>
            </w:pPr>
            <w:r w:rsidRPr="00382A62">
              <w:rPr>
                <w:rFonts w:cs="Arial"/>
                <w:b/>
                <w:bCs/>
                <w:szCs w:val="20"/>
              </w:rPr>
              <w:t>178.272</w:t>
            </w:r>
          </w:p>
        </w:tc>
        <w:tc>
          <w:tcPr>
            <w:tcW w:w="2007" w:type="dxa"/>
            <w:shd w:val="clear" w:color="auto" w:fill="auto"/>
            <w:noWrap/>
            <w:vAlign w:val="center"/>
          </w:tcPr>
          <w:p w14:paraId="5A180A8C" w14:textId="77777777" w:rsidR="00E652F6" w:rsidRPr="00382A62" w:rsidRDefault="00E652F6" w:rsidP="00B3667B">
            <w:pPr>
              <w:spacing w:line="276" w:lineRule="auto"/>
              <w:contextualSpacing/>
              <w:jc w:val="center"/>
              <w:rPr>
                <w:rFonts w:cs="Arial"/>
                <w:b/>
                <w:bCs/>
                <w:szCs w:val="20"/>
              </w:rPr>
            </w:pPr>
            <w:r w:rsidRPr="00382A62">
              <w:rPr>
                <w:rFonts w:cs="Arial"/>
                <w:b/>
                <w:bCs/>
                <w:szCs w:val="20"/>
              </w:rPr>
              <w:t>155.018</w:t>
            </w:r>
          </w:p>
        </w:tc>
      </w:tr>
    </w:tbl>
    <w:p w14:paraId="6D05E138" w14:textId="77777777" w:rsidR="00E652F6" w:rsidRPr="00382A62" w:rsidRDefault="00E652F6" w:rsidP="00E652F6">
      <w:pPr>
        <w:rPr>
          <w:rFonts w:cs="Arial"/>
          <w:szCs w:val="20"/>
        </w:rPr>
      </w:pPr>
    </w:p>
    <w:p w14:paraId="69348204" w14:textId="4127340C" w:rsidR="007605E6" w:rsidRPr="00382A62" w:rsidRDefault="007605E6" w:rsidP="00E652F6">
      <w:pPr>
        <w:pStyle w:val="Ttulo2"/>
        <w:numPr>
          <w:ilvl w:val="0"/>
          <w:numId w:val="10"/>
        </w:numPr>
        <w:rPr>
          <w:rFonts w:cs="Arial"/>
          <w:sz w:val="20"/>
          <w:szCs w:val="20"/>
        </w:rPr>
      </w:pPr>
      <w:bookmarkStart w:id="88" w:name="_Toc131092873"/>
      <w:bookmarkStart w:id="89" w:name="_Toc131501072"/>
      <w:bookmarkStart w:id="90" w:name="_Toc169624631"/>
      <w:r w:rsidRPr="00382A62">
        <w:rPr>
          <w:rFonts w:cs="Arial"/>
          <w:sz w:val="20"/>
          <w:szCs w:val="20"/>
        </w:rPr>
        <w:t>Endeudamiento y capitalización</w:t>
      </w:r>
      <w:bookmarkEnd w:id="88"/>
      <w:bookmarkEnd w:id="89"/>
      <w:bookmarkEnd w:id="90"/>
    </w:p>
    <w:p w14:paraId="1E6CB0D1" w14:textId="77777777" w:rsidR="007605E6" w:rsidRPr="00382A62" w:rsidRDefault="007605E6" w:rsidP="007605E6">
      <w:pPr>
        <w:rPr>
          <w:rFonts w:cs="Arial"/>
          <w:i/>
          <w:iCs/>
          <w:szCs w:val="20"/>
        </w:rPr>
      </w:pPr>
      <w:r w:rsidRPr="00382A62">
        <w:rPr>
          <w:rFonts w:cs="Arial"/>
          <w:szCs w:val="20"/>
        </w:rPr>
        <w:t xml:space="preserve">El Artículo 116 de la Ley Orgánica del Banco Central de Costa Rica, establece que: </w:t>
      </w:r>
      <w:r w:rsidRPr="00382A62">
        <w:rPr>
          <w:rFonts w:cs="Arial"/>
          <w:i/>
          <w:iCs/>
          <w:szCs w:val="20"/>
        </w:rPr>
        <w:t>“No se considera intermediación financiera la captación de recursos para capital de trabajo o para el financiamiento de proyectos de inversión de carácter no financiero de la propia empresa emisora o sus subsidiarias, siempre que las emisiones se encuentren registradas ante la Superintendencia General de Valores. En estos casos, los pasivos totales de las empresas emisoras no pueden exceder de cuatro veces su capital y reservas, conforme a las reglas que emita la Superintendencia General de Valores. Para normar este tema se emitió el acuerdo del Superintendente SGV-A-73.”</w:t>
      </w:r>
    </w:p>
    <w:p w14:paraId="4AC801D7" w14:textId="77777777" w:rsidR="007605E6" w:rsidRPr="00382A62" w:rsidRDefault="007605E6" w:rsidP="007605E6">
      <w:pPr>
        <w:pStyle w:val="Ttulo3"/>
        <w:numPr>
          <w:ilvl w:val="1"/>
          <w:numId w:val="10"/>
        </w:numPr>
        <w:rPr>
          <w:rFonts w:cs="Arial"/>
          <w:sz w:val="20"/>
          <w:szCs w:val="20"/>
        </w:rPr>
      </w:pPr>
      <w:bookmarkStart w:id="91" w:name="_Toc131092874"/>
      <w:bookmarkStart w:id="92" w:name="_Toc131501073"/>
      <w:bookmarkStart w:id="93" w:name="_Toc169624632"/>
      <w:r w:rsidRPr="00382A62">
        <w:rPr>
          <w:rFonts w:cs="Arial"/>
          <w:sz w:val="20"/>
          <w:szCs w:val="20"/>
        </w:rPr>
        <w:t>Endeudamiento</w:t>
      </w:r>
      <w:bookmarkEnd w:id="91"/>
      <w:bookmarkEnd w:id="92"/>
      <w:bookmarkEnd w:id="93"/>
    </w:p>
    <w:p w14:paraId="75FB6C9E" w14:textId="77777777" w:rsidR="007605E6" w:rsidRPr="00382A62" w:rsidRDefault="007605E6" w:rsidP="007605E6">
      <w:pPr>
        <w:pStyle w:val="Prrafodelista"/>
        <w:numPr>
          <w:ilvl w:val="0"/>
          <w:numId w:val="22"/>
        </w:numPr>
        <w:rPr>
          <w:rFonts w:cs="Arial"/>
          <w:b/>
          <w:bCs/>
          <w:szCs w:val="20"/>
        </w:rPr>
      </w:pPr>
      <w:r w:rsidRPr="00382A62">
        <w:rPr>
          <w:rFonts w:cs="Arial"/>
          <w:b/>
          <w:bCs/>
          <w:szCs w:val="20"/>
        </w:rPr>
        <w:t>Pasivo Total a Patrimonio Neto (Excluyendo las Utilidades Disponibles)</w:t>
      </w:r>
    </w:p>
    <w:p w14:paraId="4982EF98" w14:textId="77777777" w:rsidR="007605E6" w:rsidRPr="00382A62" w:rsidRDefault="007605E6" w:rsidP="007605E6">
      <w:pPr>
        <w:rPr>
          <w:rFonts w:cs="Arial"/>
          <w:szCs w:val="20"/>
        </w:rPr>
      </w:pPr>
      <w:r w:rsidRPr="00382A62">
        <w:rPr>
          <w:rFonts w:cs="Arial"/>
          <w:szCs w:val="20"/>
        </w:rPr>
        <w:t>El cálculo de esta razón corresponde a tomar el saldo del pasivo total (incluyendo el total de las emisiones autorizadas colocadas) y dividirlo entre el patrimonio neto (excluyendo las utilidades no distribuidas disponibles). El resultado se interpreta como la exposición de los acreedores en el caso de una posible insolvencia de la Compañía, una vez excluidas las utilidades disponibles. Este cálculo no incluye el interés minoritario.</w:t>
      </w:r>
    </w:p>
    <w:p w14:paraId="796944A8" w14:textId="77777777" w:rsidR="00476CBE" w:rsidRDefault="00476CBE" w:rsidP="007605E6">
      <w:pPr>
        <w:pStyle w:val="Descripcin"/>
        <w:rPr>
          <w:rFonts w:cs="Arial"/>
          <w:szCs w:val="20"/>
        </w:rPr>
      </w:pPr>
    </w:p>
    <w:p w14:paraId="688277B8" w14:textId="77777777" w:rsidR="00476CBE" w:rsidRDefault="00476CBE" w:rsidP="007605E6">
      <w:pPr>
        <w:pStyle w:val="Descripcin"/>
        <w:rPr>
          <w:rFonts w:cs="Arial"/>
          <w:szCs w:val="20"/>
        </w:rPr>
      </w:pPr>
    </w:p>
    <w:p w14:paraId="24144022" w14:textId="77777777" w:rsidR="00476CBE" w:rsidRDefault="00476CBE" w:rsidP="007605E6">
      <w:pPr>
        <w:pStyle w:val="Descripcin"/>
        <w:rPr>
          <w:rFonts w:cs="Arial"/>
          <w:szCs w:val="20"/>
        </w:rPr>
      </w:pPr>
    </w:p>
    <w:p w14:paraId="1F7DAC90" w14:textId="77777777" w:rsidR="00476CBE" w:rsidRDefault="00476CBE" w:rsidP="007605E6">
      <w:pPr>
        <w:pStyle w:val="Descripcin"/>
        <w:rPr>
          <w:rFonts w:cs="Arial"/>
          <w:szCs w:val="20"/>
        </w:rPr>
      </w:pPr>
    </w:p>
    <w:p w14:paraId="165FF055" w14:textId="37ED23A8" w:rsidR="007605E6" w:rsidRPr="00382A62" w:rsidRDefault="007605E6" w:rsidP="007605E6">
      <w:pPr>
        <w:pStyle w:val="Descripcin"/>
        <w:rPr>
          <w:rFonts w:cs="Arial"/>
          <w:szCs w:val="20"/>
        </w:rPr>
      </w:pPr>
      <w:bookmarkStart w:id="94" w:name="_Toc169624721"/>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25</w:t>
      </w:r>
      <w:r w:rsidR="00423C23" w:rsidRPr="00382A62">
        <w:rPr>
          <w:rFonts w:cs="Arial"/>
          <w:noProof/>
          <w:szCs w:val="20"/>
        </w:rPr>
        <w:fldChar w:fldCharType="end"/>
      </w:r>
      <w:r w:rsidRPr="00382A62">
        <w:rPr>
          <w:rFonts w:cs="Arial"/>
          <w:szCs w:val="20"/>
        </w:rPr>
        <w:t xml:space="preserve"> - Pasivo Total a Patrimonio Neto (Excluyendo las Utilidades Disponibles)</w:t>
      </w:r>
      <w:bookmarkEnd w:id="94"/>
    </w:p>
    <w:tbl>
      <w:tblPr>
        <w:tblW w:w="10140" w:type="dxa"/>
        <w:jc w:val="center"/>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3C16D5" w:rsidRPr="00382A62" w14:paraId="5170B17A" w14:textId="77777777" w:rsidTr="003C16D5">
        <w:trPr>
          <w:trHeight w:val="280"/>
          <w:jc w:val="center"/>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3E9702D" w14:textId="77777777" w:rsidR="003C16D5" w:rsidRPr="00382A62" w:rsidRDefault="003C16D5" w:rsidP="003C16D5">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Pasivo Total a Patrimonio Neto</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4D812977" w14:textId="77777777" w:rsidR="003C16D5" w:rsidRPr="00382A62" w:rsidRDefault="003C16D5" w:rsidP="003C16D5">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F20A021" w14:textId="77777777" w:rsidR="003C16D5" w:rsidRPr="00382A62" w:rsidRDefault="003C16D5" w:rsidP="003C16D5">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1AC1364" w14:textId="77777777" w:rsidR="003C16D5" w:rsidRPr="00382A62" w:rsidRDefault="003C16D5" w:rsidP="003C16D5">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3C16D5" w:rsidRPr="00382A62" w14:paraId="14236E4D" w14:textId="77777777" w:rsidTr="003C16D5">
        <w:trPr>
          <w:trHeight w:val="280"/>
          <w:jc w:val="center"/>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6B558077" w14:textId="77777777" w:rsidR="003C16D5" w:rsidRPr="00382A62" w:rsidRDefault="003C16D5" w:rsidP="003C16D5">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4A2E4BB1" w14:textId="77777777" w:rsidR="003C16D5" w:rsidRPr="00382A62" w:rsidRDefault="003C16D5" w:rsidP="003C16D5">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6D1AA5E2" w14:textId="77777777" w:rsidR="003C16D5" w:rsidRPr="00382A62" w:rsidRDefault="003C16D5" w:rsidP="003C16D5">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325AAE1D" w14:textId="77777777" w:rsidR="003C16D5" w:rsidRPr="00382A62" w:rsidRDefault="003C16D5" w:rsidP="003C16D5">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5BD64E4C" w14:textId="77777777" w:rsidR="003C16D5" w:rsidRPr="00382A62" w:rsidRDefault="003C16D5" w:rsidP="003C16D5">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4786A98D" w14:textId="77777777" w:rsidR="003C16D5" w:rsidRPr="00382A62" w:rsidRDefault="003C16D5" w:rsidP="003C16D5">
            <w:pPr>
              <w:spacing w:after="0" w:line="240" w:lineRule="auto"/>
              <w:jc w:val="left"/>
              <w:rPr>
                <w:rFonts w:eastAsia="Times New Roman" w:cs="Arial"/>
                <w:b/>
                <w:bCs/>
                <w:color w:val="000000"/>
                <w:szCs w:val="20"/>
                <w:lang w:val="es-419" w:eastAsia="es-419"/>
              </w:rPr>
            </w:pPr>
          </w:p>
        </w:tc>
      </w:tr>
      <w:tr w:rsidR="003C16D5" w:rsidRPr="00382A62" w14:paraId="391E561C" w14:textId="77777777" w:rsidTr="003C16D5">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2E4B3EEA" w14:textId="77777777" w:rsidR="003C16D5" w:rsidRPr="00382A62" w:rsidRDefault="003C16D5" w:rsidP="003C16D5">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Pasivo Total</w:t>
            </w:r>
          </w:p>
        </w:tc>
        <w:tc>
          <w:tcPr>
            <w:tcW w:w="1322" w:type="dxa"/>
            <w:tcBorders>
              <w:top w:val="nil"/>
              <w:left w:val="nil"/>
              <w:bottom w:val="single" w:sz="4" w:space="0" w:color="A6A6A6"/>
              <w:right w:val="single" w:sz="4" w:space="0" w:color="A6A6A6"/>
            </w:tcBorders>
            <w:shd w:val="clear" w:color="auto" w:fill="auto"/>
            <w:noWrap/>
            <w:vAlign w:val="bottom"/>
            <w:hideMark/>
          </w:tcPr>
          <w:p w14:paraId="17B960AA"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521,225 </w:t>
            </w:r>
          </w:p>
        </w:tc>
        <w:tc>
          <w:tcPr>
            <w:tcW w:w="1322" w:type="dxa"/>
            <w:tcBorders>
              <w:top w:val="nil"/>
              <w:left w:val="nil"/>
              <w:bottom w:val="single" w:sz="4" w:space="0" w:color="A6A6A6"/>
              <w:right w:val="single" w:sz="4" w:space="0" w:color="A6A6A6"/>
            </w:tcBorders>
            <w:shd w:val="clear" w:color="auto" w:fill="auto"/>
            <w:noWrap/>
            <w:vAlign w:val="bottom"/>
            <w:hideMark/>
          </w:tcPr>
          <w:p w14:paraId="3DBE2270"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516,035 </w:t>
            </w:r>
          </w:p>
        </w:tc>
        <w:tc>
          <w:tcPr>
            <w:tcW w:w="1376" w:type="dxa"/>
            <w:tcBorders>
              <w:top w:val="nil"/>
              <w:left w:val="nil"/>
              <w:bottom w:val="single" w:sz="4" w:space="0" w:color="A6A6A6"/>
              <w:right w:val="single" w:sz="4" w:space="0" w:color="A6A6A6"/>
            </w:tcBorders>
            <w:shd w:val="clear" w:color="auto" w:fill="auto"/>
            <w:noWrap/>
            <w:vAlign w:val="bottom"/>
            <w:hideMark/>
          </w:tcPr>
          <w:p w14:paraId="423C03DF"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461,717 </w:t>
            </w:r>
          </w:p>
        </w:tc>
        <w:tc>
          <w:tcPr>
            <w:tcW w:w="1260" w:type="dxa"/>
            <w:tcBorders>
              <w:top w:val="nil"/>
              <w:left w:val="nil"/>
              <w:bottom w:val="single" w:sz="4" w:space="0" w:color="A6A6A6"/>
              <w:right w:val="single" w:sz="4" w:space="0" w:color="A6A6A6"/>
            </w:tcBorders>
            <w:shd w:val="clear" w:color="auto" w:fill="auto"/>
            <w:noWrap/>
            <w:vAlign w:val="bottom"/>
            <w:hideMark/>
          </w:tcPr>
          <w:p w14:paraId="136D4C0B"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54,318 </w:t>
            </w:r>
          </w:p>
        </w:tc>
        <w:tc>
          <w:tcPr>
            <w:tcW w:w="1260" w:type="dxa"/>
            <w:tcBorders>
              <w:top w:val="nil"/>
              <w:left w:val="nil"/>
              <w:bottom w:val="single" w:sz="4" w:space="0" w:color="A6A6A6"/>
              <w:right w:val="single" w:sz="4" w:space="0" w:color="A6A6A6"/>
            </w:tcBorders>
            <w:shd w:val="clear" w:color="auto" w:fill="auto"/>
            <w:noWrap/>
            <w:vAlign w:val="bottom"/>
            <w:hideMark/>
          </w:tcPr>
          <w:p w14:paraId="630B0727"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-10.5%</w:t>
            </w:r>
          </w:p>
        </w:tc>
      </w:tr>
      <w:tr w:rsidR="003C16D5" w:rsidRPr="00382A62" w14:paraId="6AC215CF" w14:textId="77777777" w:rsidTr="003C16D5">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5BDA3C13" w14:textId="77777777" w:rsidR="003C16D5" w:rsidRPr="00382A62" w:rsidRDefault="003C16D5" w:rsidP="003C16D5">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Patrimonio</w:t>
            </w:r>
          </w:p>
        </w:tc>
        <w:tc>
          <w:tcPr>
            <w:tcW w:w="1322" w:type="dxa"/>
            <w:tcBorders>
              <w:top w:val="nil"/>
              <w:left w:val="nil"/>
              <w:bottom w:val="single" w:sz="4" w:space="0" w:color="A6A6A6"/>
              <w:right w:val="single" w:sz="4" w:space="0" w:color="A6A6A6"/>
            </w:tcBorders>
            <w:shd w:val="clear" w:color="auto" w:fill="auto"/>
            <w:noWrap/>
            <w:vAlign w:val="bottom"/>
            <w:hideMark/>
          </w:tcPr>
          <w:p w14:paraId="5E3F7ED1"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404,414 </w:t>
            </w:r>
          </w:p>
        </w:tc>
        <w:tc>
          <w:tcPr>
            <w:tcW w:w="1322" w:type="dxa"/>
            <w:tcBorders>
              <w:top w:val="nil"/>
              <w:left w:val="nil"/>
              <w:bottom w:val="single" w:sz="4" w:space="0" w:color="A6A6A6"/>
              <w:right w:val="single" w:sz="4" w:space="0" w:color="A6A6A6"/>
            </w:tcBorders>
            <w:shd w:val="clear" w:color="auto" w:fill="auto"/>
            <w:noWrap/>
            <w:vAlign w:val="bottom"/>
            <w:hideMark/>
          </w:tcPr>
          <w:p w14:paraId="44F0F091"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410,588 </w:t>
            </w:r>
          </w:p>
        </w:tc>
        <w:tc>
          <w:tcPr>
            <w:tcW w:w="1376" w:type="dxa"/>
            <w:tcBorders>
              <w:top w:val="nil"/>
              <w:left w:val="nil"/>
              <w:bottom w:val="single" w:sz="4" w:space="0" w:color="A6A6A6"/>
              <w:right w:val="single" w:sz="4" w:space="0" w:color="A6A6A6"/>
            </w:tcBorders>
            <w:shd w:val="clear" w:color="auto" w:fill="auto"/>
            <w:noWrap/>
            <w:vAlign w:val="bottom"/>
            <w:hideMark/>
          </w:tcPr>
          <w:p w14:paraId="6A49BFF1"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412,730 </w:t>
            </w:r>
          </w:p>
        </w:tc>
        <w:tc>
          <w:tcPr>
            <w:tcW w:w="1260" w:type="dxa"/>
            <w:tcBorders>
              <w:top w:val="nil"/>
              <w:left w:val="nil"/>
              <w:bottom w:val="single" w:sz="4" w:space="0" w:color="A6A6A6"/>
              <w:right w:val="single" w:sz="4" w:space="0" w:color="A6A6A6"/>
            </w:tcBorders>
            <w:shd w:val="clear" w:color="auto" w:fill="auto"/>
            <w:noWrap/>
            <w:vAlign w:val="bottom"/>
            <w:hideMark/>
          </w:tcPr>
          <w:p w14:paraId="2A557584"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2,142 </w:t>
            </w:r>
          </w:p>
        </w:tc>
        <w:tc>
          <w:tcPr>
            <w:tcW w:w="1260" w:type="dxa"/>
            <w:tcBorders>
              <w:top w:val="nil"/>
              <w:left w:val="nil"/>
              <w:bottom w:val="single" w:sz="4" w:space="0" w:color="A6A6A6"/>
              <w:right w:val="single" w:sz="4" w:space="0" w:color="A6A6A6"/>
            </w:tcBorders>
            <w:shd w:val="clear" w:color="auto" w:fill="auto"/>
            <w:noWrap/>
            <w:vAlign w:val="bottom"/>
            <w:hideMark/>
          </w:tcPr>
          <w:p w14:paraId="2B8A1130"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0.5%</w:t>
            </w:r>
          </w:p>
        </w:tc>
      </w:tr>
      <w:tr w:rsidR="003C16D5" w:rsidRPr="00382A62" w14:paraId="1BD8657F" w14:textId="77777777" w:rsidTr="003C16D5">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32CB88F5" w14:textId="77777777" w:rsidR="003C16D5" w:rsidRPr="00382A62" w:rsidRDefault="003C16D5" w:rsidP="003C16D5">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Utilidades No Distribuidas</w:t>
            </w:r>
          </w:p>
        </w:tc>
        <w:tc>
          <w:tcPr>
            <w:tcW w:w="1322" w:type="dxa"/>
            <w:tcBorders>
              <w:top w:val="nil"/>
              <w:left w:val="nil"/>
              <w:bottom w:val="single" w:sz="4" w:space="0" w:color="A6A6A6"/>
              <w:right w:val="single" w:sz="4" w:space="0" w:color="A6A6A6"/>
            </w:tcBorders>
            <w:shd w:val="clear" w:color="auto" w:fill="auto"/>
            <w:noWrap/>
            <w:vAlign w:val="bottom"/>
            <w:hideMark/>
          </w:tcPr>
          <w:p w14:paraId="4551E1EA"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202,641 </w:t>
            </w:r>
          </w:p>
        </w:tc>
        <w:tc>
          <w:tcPr>
            <w:tcW w:w="1322" w:type="dxa"/>
            <w:tcBorders>
              <w:top w:val="nil"/>
              <w:left w:val="nil"/>
              <w:bottom w:val="single" w:sz="4" w:space="0" w:color="A6A6A6"/>
              <w:right w:val="single" w:sz="4" w:space="0" w:color="A6A6A6"/>
            </w:tcBorders>
            <w:shd w:val="clear" w:color="auto" w:fill="auto"/>
            <w:noWrap/>
            <w:vAlign w:val="bottom"/>
            <w:hideMark/>
          </w:tcPr>
          <w:p w14:paraId="7154AFB6"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231,818 </w:t>
            </w:r>
          </w:p>
        </w:tc>
        <w:tc>
          <w:tcPr>
            <w:tcW w:w="1376" w:type="dxa"/>
            <w:tcBorders>
              <w:top w:val="nil"/>
              <w:left w:val="nil"/>
              <w:bottom w:val="single" w:sz="4" w:space="0" w:color="A6A6A6"/>
              <w:right w:val="single" w:sz="4" w:space="0" w:color="A6A6A6"/>
            </w:tcBorders>
            <w:shd w:val="clear" w:color="auto" w:fill="auto"/>
            <w:noWrap/>
            <w:vAlign w:val="bottom"/>
            <w:hideMark/>
          </w:tcPr>
          <w:p w14:paraId="58E5D3EC"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261,570 </w:t>
            </w:r>
          </w:p>
        </w:tc>
        <w:tc>
          <w:tcPr>
            <w:tcW w:w="1260" w:type="dxa"/>
            <w:tcBorders>
              <w:top w:val="nil"/>
              <w:left w:val="nil"/>
              <w:bottom w:val="single" w:sz="4" w:space="0" w:color="A6A6A6"/>
              <w:right w:val="single" w:sz="4" w:space="0" w:color="A6A6A6"/>
            </w:tcBorders>
            <w:shd w:val="clear" w:color="auto" w:fill="auto"/>
            <w:noWrap/>
            <w:vAlign w:val="bottom"/>
            <w:hideMark/>
          </w:tcPr>
          <w:p w14:paraId="03FFF9DA"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29,752 </w:t>
            </w:r>
          </w:p>
        </w:tc>
        <w:tc>
          <w:tcPr>
            <w:tcW w:w="1260" w:type="dxa"/>
            <w:tcBorders>
              <w:top w:val="nil"/>
              <w:left w:val="nil"/>
              <w:bottom w:val="single" w:sz="4" w:space="0" w:color="A6A6A6"/>
              <w:right w:val="single" w:sz="4" w:space="0" w:color="A6A6A6"/>
            </w:tcBorders>
            <w:shd w:val="clear" w:color="auto" w:fill="auto"/>
            <w:noWrap/>
            <w:vAlign w:val="bottom"/>
            <w:hideMark/>
          </w:tcPr>
          <w:p w14:paraId="0E20D001"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12.8%</w:t>
            </w:r>
          </w:p>
        </w:tc>
      </w:tr>
      <w:tr w:rsidR="003C16D5" w:rsidRPr="00382A62" w14:paraId="444D0781" w14:textId="77777777" w:rsidTr="003C16D5">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57BA7647" w14:textId="77777777" w:rsidR="003C16D5" w:rsidRPr="00382A62" w:rsidRDefault="003C16D5" w:rsidP="003C16D5">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Pasivo Total a Patrimonio Neto</w:t>
            </w:r>
          </w:p>
        </w:tc>
        <w:tc>
          <w:tcPr>
            <w:tcW w:w="1322" w:type="dxa"/>
            <w:tcBorders>
              <w:top w:val="nil"/>
              <w:left w:val="nil"/>
              <w:bottom w:val="single" w:sz="4" w:space="0" w:color="A6A6A6"/>
              <w:right w:val="single" w:sz="4" w:space="0" w:color="A6A6A6"/>
            </w:tcBorders>
            <w:shd w:val="clear" w:color="auto" w:fill="auto"/>
            <w:noWrap/>
            <w:vAlign w:val="bottom"/>
            <w:hideMark/>
          </w:tcPr>
          <w:p w14:paraId="27586407"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2.58 </w:t>
            </w:r>
          </w:p>
        </w:tc>
        <w:tc>
          <w:tcPr>
            <w:tcW w:w="1322" w:type="dxa"/>
            <w:tcBorders>
              <w:top w:val="nil"/>
              <w:left w:val="nil"/>
              <w:bottom w:val="single" w:sz="4" w:space="0" w:color="A6A6A6"/>
              <w:right w:val="single" w:sz="4" w:space="0" w:color="A6A6A6"/>
            </w:tcBorders>
            <w:shd w:val="clear" w:color="auto" w:fill="auto"/>
            <w:noWrap/>
            <w:vAlign w:val="bottom"/>
            <w:hideMark/>
          </w:tcPr>
          <w:p w14:paraId="0502190B"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2.89 </w:t>
            </w:r>
          </w:p>
        </w:tc>
        <w:tc>
          <w:tcPr>
            <w:tcW w:w="1376" w:type="dxa"/>
            <w:tcBorders>
              <w:top w:val="nil"/>
              <w:left w:val="nil"/>
              <w:bottom w:val="single" w:sz="4" w:space="0" w:color="A6A6A6"/>
              <w:right w:val="single" w:sz="4" w:space="0" w:color="A6A6A6"/>
            </w:tcBorders>
            <w:shd w:val="clear" w:color="auto" w:fill="auto"/>
            <w:noWrap/>
            <w:vAlign w:val="bottom"/>
            <w:hideMark/>
          </w:tcPr>
          <w:p w14:paraId="3C876CD3"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3.05 </w:t>
            </w:r>
          </w:p>
        </w:tc>
        <w:tc>
          <w:tcPr>
            <w:tcW w:w="1260" w:type="dxa"/>
            <w:tcBorders>
              <w:top w:val="nil"/>
              <w:left w:val="nil"/>
              <w:bottom w:val="single" w:sz="4" w:space="0" w:color="A6A6A6"/>
              <w:right w:val="single" w:sz="4" w:space="0" w:color="A6A6A6"/>
            </w:tcBorders>
            <w:shd w:val="clear" w:color="auto" w:fill="auto"/>
            <w:noWrap/>
            <w:vAlign w:val="bottom"/>
            <w:hideMark/>
          </w:tcPr>
          <w:p w14:paraId="3266AC7A"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0.2 </w:t>
            </w:r>
          </w:p>
        </w:tc>
        <w:tc>
          <w:tcPr>
            <w:tcW w:w="1260" w:type="dxa"/>
            <w:tcBorders>
              <w:top w:val="nil"/>
              <w:left w:val="nil"/>
              <w:bottom w:val="single" w:sz="4" w:space="0" w:color="A6A6A6"/>
              <w:right w:val="single" w:sz="4" w:space="0" w:color="A6A6A6"/>
            </w:tcBorders>
            <w:shd w:val="clear" w:color="auto" w:fill="auto"/>
            <w:noWrap/>
            <w:vAlign w:val="bottom"/>
            <w:hideMark/>
          </w:tcPr>
          <w:p w14:paraId="27F38549"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5.8%</w:t>
            </w:r>
          </w:p>
        </w:tc>
      </w:tr>
    </w:tbl>
    <w:p w14:paraId="4FD47E57" w14:textId="4E558561" w:rsidR="007605E6" w:rsidRPr="00382A62" w:rsidRDefault="007605E6" w:rsidP="00B41D8B">
      <w:pPr>
        <w:spacing w:before="240"/>
        <w:rPr>
          <w:rFonts w:cs="Arial"/>
          <w:szCs w:val="20"/>
        </w:rPr>
      </w:pPr>
      <w:r w:rsidRPr="00382A62">
        <w:rPr>
          <w:rFonts w:cs="Arial"/>
          <w:szCs w:val="20"/>
        </w:rPr>
        <w:t>En el 202</w:t>
      </w:r>
      <w:r w:rsidR="00E652F6" w:rsidRPr="00382A62">
        <w:rPr>
          <w:rFonts w:cs="Arial"/>
          <w:szCs w:val="20"/>
        </w:rPr>
        <w:t>3</w:t>
      </w:r>
      <w:r w:rsidRPr="00382A62">
        <w:rPr>
          <w:rFonts w:cs="Arial"/>
          <w:szCs w:val="20"/>
        </w:rPr>
        <w:t xml:space="preserve">, este indicador tuvo </w:t>
      </w:r>
      <w:r w:rsidR="002C7306" w:rsidRPr="00382A62">
        <w:rPr>
          <w:rFonts w:cs="Arial"/>
          <w:szCs w:val="20"/>
        </w:rPr>
        <w:t xml:space="preserve">un </w:t>
      </w:r>
      <w:r w:rsidR="00AE53EA" w:rsidRPr="00382A62">
        <w:rPr>
          <w:rFonts w:cs="Arial"/>
          <w:szCs w:val="20"/>
        </w:rPr>
        <w:t>incremento absoluto</w:t>
      </w:r>
      <w:r w:rsidRPr="00382A62">
        <w:rPr>
          <w:rFonts w:cs="Arial"/>
          <w:szCs w:val="20"/>
        </w:rPr>
        <w:t xml:space="preserve"> de 0,</w:t>
      </w:r>
      <w:r w:rsidR="002C7306" w:rsidRPr="00382A62">
        <w:rPr>
          <w:rFonts w:cs="Arial"/>
          <w:szCs w:val="20"/>
        </w:rPr>
        <w:t>2</w:t>
      </w:r>
      <w:r w:rsidRPr="00382A62">
        <w:rPr>
          <w:rFonts w:cs="Arial"/>
          <w:szCs w:val="20"/>
        </w:rPr>
        <w:t xml:space="preserve"> con respecto al 202</w:t>
      </w:r>
      <w:r w:rsidR="002C7306" w:rsidRPr="00382A62">
        <w:rPr>
          <w:rFonts w:cs="Arial"/>
          <w:szCs w:val="20"/>
        </w:rPr>
        <w:t>2</w:t>
      </w:r>
      <w:r w:rsidRPr="00382A62">
        <w:rPr>
          <w:rFonts w:cs="Arial"/>
          <w:szCs w:val="20"/>
        </w:rPr>
        <w:t>. El mismo se encuentra dentro de las disposiciones de la Superintendencia General de Valores.</w:t>
      </w:r>
    </w:p>
    <w:p w14:paraId="25FFB369" w14:textId="77777777" w:rsidR="007605E6" w:rsidRPr="00382A62" w:rsidRDefault="007605E6" w:rsidP="007605E6">
      <w:pPr>
        <w:pStyle w:val="Prrafodelista"/>
        <w:numPr>
          <w:ilvl w:val="0"/>
          <w:numId w:val="22"/>
        </w:numPr>
        <w:rPr>
          <w:rFonts w:cs="Arial"/>
          <w:b/>
          <w:bCs/>
          <w:szCs w:val="20"/>
        </w:rPr>
      </w:pPr>
      <w:r w:rsidRPr="00382A62">
        <w:rPr>
          <w:rFonts w:cs="Arial"/>
          <w:b/>
          <w:bCs/>
          <w:szCs w:val="20"/>
        </w:rPr>
        <w:t>Captación Efectiva a Pasivo Total</w:t>
      </w:r>
    </w:p>
    <w:p w14:paraId="5D929AE2" w14:textId="77777777" w:rsidR="007605E6" w:rsidRPr="00382A62" w:rsidRDefault="007605E6" w:rsidP="007605E6">
      <w:pPr>
        <w:spacing w:line="259" w:lineRule="auto"/>
        <w:jc w:val="left"/>
        <w:rPr>
          <w:rFonts w:cs="Arial"/>
          <w:szCs w:val="20"/>
        </w:rPr>
      </w:pPr>
      <w:r w:rsidRPr="00382A62">
        <w:rPr>
          <w:rFonts w:cs="Arial"/>
          <w:szCs w:val="20"/>
        </w:rPr>
        <w:t>El cálculo de esta razón corresponde al saldo de deuda colocado entre el pasivo total.</w:t>
      </w:r>
    </w:p>
    <w:p w14:paraId="2233C77C" w14:textId="77777777" w:rsidR="004F7DFF" w:rsidRPr="00382A62" w:rsidRDefault="004F7DFF" w:rsidP="007605E6">
      <w:pPr>
        <w:spacing w:line="259" w:lineRule="auto"/>
        <w:jc w:val="left"/>
        <w:rPr>
          <w:rFonts w:cs="Arial"/>
          <w:szCs w:val="20"/>
        </w:rPr>
      </w:pPr>
    </w:p>
    <w:p w14:paraId="5C4CC4D7" w14:textId="427BD495" w:rsidR="007605E6" w:rsidRPr="00382A62" w:rsidRDefault="007605E6" w:rsidP="007605E6">
      <w:pPr>
        <w:pStyle w:val="Descripcin"/>
        <w:rPr>
          <w:rFonts w:cs="Arial"/>
          <w:szCs w:val="20"/>
        </w:rPr>
      </w:pPr>
      <w:bookmarkStart w:id="95" w:name="_Toc169624722"/>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26</w:t>
      </w:r>
      <w:r w:rsidR="00423C23" w:rsidRPr="00382A62">
        <w:rPr>
          <w:rFonts w:cs="Arial"/>
          <w:noProof/>
          <w:szCs w:val="20"/>
        </w:rPr>
        <w:fldChar w:fldCharType="end"/>
      </w:r>
      <w:r w:rsidRPr="00382A62">
        <w:rPr>
          <w:rFonts w:cs="Arial"/>
          <w:szCs w:val="20"/>
        </w:rPr>
        <w:t xml:space="preserve"> - Captación Efectiva a Pasivo Total</w:t>
      </w:r>
      <w:bookmarkEnd w:id="95"/>
    </w:p>
    <w:tbl>
      <w:tblPr>
        <w:tblW w:w="10140" w:type="dxa"/>
        <w:jc w:val="center"/>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4F7DFF" w:rsidRPr="00382A62" w14:paraId="384BB082" w14:textId="77777777" w:rsidTr="004F7DFF">
        <w:trPr>
          <w:trHeight w:val="553"/>
          <w:jc w:val="center"/>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3C45C1C" w14:textId="77777777" w:rsidR="004F7DFF" w:rsidRPr="00382A62" w:rsidRDefault="004F7DFF" w:rsidP="004F7DF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Captación a Pasivo Total</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3F0E73E4" w14:textId="77777777" w:rsidR="004F7DFF" w:rsidRPr="00382A62" w:rsidRDefault="004F7DFF" w:rsidP="004F7DF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880C3E0" w14:textId="77777777" w:rsidR="004F7DFF" w:rsidRPr="00382A62" w:rsidRDefault="004F7DFF" w:rsidP="004F7DF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EE73E3E" w14:textId="77777777" w:rsidR="004F7DFF" w:rsidRPr="00382A62" w:rsidRDefault="004F7DFF" w:rsidP="004F7DF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4F7DFF" w:rsidRPr="00382A62" w14:paraId="6B51FDE2" w14:textId="77777777" w:rsidTr="004F7DFF">
        <w:trPr>
          <w:trHeight w:val="280"/>
          <w:jc w:val="center"/>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4ABF38ED" w14:textId="77777777" w:rsidR="004F7DFF" w:rsidRPr="00382A62" w:rsidRDefault="004F7DFF" w:rsidP="004F7DFF">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24F7C3CD" w14:textId="77777777" w:rsidR="004F7DFF" w:rsidRPr="00382A62" w:rsidRDefault="004F7DFF" w:rsidP="004F7DF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501F51EF" w14:textId="77777777" w:rsidR="004F7DFF" w:rsidRPr="00382A62" w:rsidRDefault="004F7DFF" w:rsidP="004F7DF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5C971C15" w14:textId="15803387" w:rsidR="004F7DFF" w:rsidRPr="00382A62" w:rsidRDefault="00EA7226" w:rsidP="004F7DF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r w:rsidR="004F7DFF" w:rsidRPr="00382A62">
              <w:rPr>
                <w:rFonts w:eastAsia="Times New Roman" w:cs="Arial"/>
                <w:b/>
                <w:bCs/>
                <w:color w:val="000000"/>
                <w:szCs w:val="20"/>
                <w:lang w:val="es-419" w:eastAsia="es-419"/>
              </w:rPr>
              <w:t> </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2C1D3ECD" w14:textId="77777777" w:rsidR="004F7DFF" w:rsidRPr="00382A62" w:rsidRDefault="004F7DFF" w:rsidP="004F7DFF">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78FF0AE5" w14:textId="77777777" w:rsidR="004F7DFF" w:rsidRPr="00382A62" w:rsidRDefault="004F7DFF" w:rsidP="004F7DFF">
            <w:pPr>
              <w:spacing w:after="0" w:line="240" w:lineRule="auto"/>
              <w:jc w:val="left"/>
              <w:rPr>
                <w:rFonts w:eastAsia="Times New Roman" w:cs="Arial"/>
                <w:b/>
                <w:bCs/>
                <w:color w:val="000000"/>
                <w:szCs w:val="20"/>
                <w:lang w:val="es-419" w:eastAsia="es-419"/>
              </w:rPr>
            </w:pPr>
          </w:p>
        </w:tc>
      </w:tr>
      <w:tr w:rsidR="004F7DFF" w:rsidRPr="00382A62" w14:paraId="27EB8465" w14:textId="77777777" w:rsidTr="004F7DFF">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4385A955" w14:textId="77777777" w:rsidR="004F7DFF" w:rsidRPr="00382A62" w:rsidRDefault="004F7DFF" w:rsidP="004F7DFF">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Captación</w:t>
            </w:r>
          </w:p>
        </w:tc>
        <w:tc>
          <w:tcPr>
            <w:tcW w:w="1322" w:type="dxa"/>
            <w:tcBorders>
              <w:top w:val="nil"/>
              <w:left w:val="nil"/>
              <w:bottom w:val="single" w:sz="4" w:space="0" w:color="A6A6A6"/>
              <w:right w:val="single" w:sz="4" w:space="0" w:color="A6A6A6"/>
            </w:tcBorders>
            <w:shd w:val="clear" w:color="auto" w:fill="auto"/>
            <w:noWrap/>
            <w:vAlign w:val="bottom"/>
            <w:hideMark/>
          </w:tcPr>
          <w:p w14:paraId="79BE00CF"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108,000 </w:t>
            </w:r>
          </w:p>
        </w:tc>
        <w:tc>
          <w:tcPr>
            <w:tcW w:w="1322" w:type="dxa"/>
            <w:tcBorders>
              <w:top w:val="nil"/>
              <w:left w:val="nil"/>
              <w:bottom w:val="single" w:sz="4" w:space="0" w:color="A6A6A6"/>
              <w:right w:val="single" w:sz="4" w:space="0" w:color="A6A6A6"/>
            </w:tcBorders>
            <w:shd w:val="clear" w:color="auto" w:fill="auto"/>
            <w:noWrap/>
            <w:vAlign w:val="bottom"/>
            <w:hideMark/>
          </w:tcPr>
          <w:p w14:paraId="09320ABA"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108,000 </w:t>
            </w:r>
          </w:p>
        </w:tc>
        <w:tc>
          <w:tcPr>
            <w:tcW w:w="1376" w:type="dxa"/>
            <w:tcBorders>
              <w:top w:val="nil"/>
              <w:left w:val="nil"/>
              <w:bottom w:val="single" w:sz="4" w:space="0" w:color="A6A6A6"/>
              <w:right w:val="single" w:sz="4" w:space="0" w:color="A6A6A6"/>
            </w:tcBorders>
            <w:shd w:val="clear" w:color="auto" w:fill="auto"/>
            <w:noWrap/>
            <w:vAlign w:val="bottom"/>
            <w:hideMark/>
          </w:tcPr>
          <w:p w14:paraId="5FD2290E"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50,000 </w:t>
            </w:r>
          </w:p>
        </w:tc>
        <w:tc>
          <w:tcPr>
            <w:tcW w:w="1260" w:type="dxa"/>
            <w:tcBorders>
              <w:top w:val="nil"/>
              <w:left w:val="nil"/>
              <w:bottom w:val="single" w:sz="4" w:space="0" w:color="A6A6A6"/>
              <w:right w:val="single" w:sz="4" w:space="0" w:color="A6A6A6"/>
            </w:tcBorders>
            <w:shd w:val="clear" w:color="auto" w:fill="auto"/>
            <w:noWrap/>
            <w:vAlign w:val="bottom"/>
            <w:hideMark/>
          </w:tcPr>
          <w:p w14:paraId="1C7DF3BA"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58,000 </w:t>
            </w:r>
          </w:p>
        </w:tc>
        <w:tc>
          <w:tcPr>
            <w:tcW w:w="1260" w:type="dxa"/>
            <w:tcBorders>
              <w:top w:val="nil"/>
              <w:left w:val="nil"/>
              <w:bottom w:val="single" w:sz="4" w:space="0" w:color="A6A6A6"/>
              <w:right w:val="single" w:sz="4" w:space="0" w:color="A6A6A6"/>
            </w:tcBorders>
            <w:shd w:val="clear" w:color="auto" w:fill="auto"/>
            <w:noWrap/>
            <w:vAlign w:val="bottom"/>
            <w:hideMark/>
          </w:tcPr>
          <w:p w14:paraId="26FBE0CB"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-53.7%</w:t>
            </w:r>
          </w:p>
        </w:tc>
      </w:tr>
      <w:tr w:rsidR="004F7DFF" w:rsidRPr="00382A62" w14:paraId="453DCFC7" w14:textId="77777777" w:rsidTr="004F7DFF">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1142D675" w14:textId="77777777" w:rsidR="004F7DFF" w:rsidRPr="00382A62" w:rsidRDefault="004F7DFF" w:rsidP="004F7DFF">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Pasivo Total</w:t>
            </w:r>
          </w:p>
        </w:tc>
        <w:tc>
          <w:tcPr>
            <w:tcW w:w="1322" w:type="dxa"/>
            <w:tcBorders>
              <w:top w:val="nil"/>
              <w:left w:val="nil"/>
              <w:bottom w:val="single" w:sz="4" w:space="0" w:color="A6A6A6"/>
              <w:right w:val="single" w:sz="4" w:space="0" w:color="A6A6A6"/>
            </w:tcBorders>
            <w:shd w:val="clear" w:color="auto" w:fill="auto"/>
            <w:noWrap/>
            <w:vAlign w:val="bottom"/>
            <w:hideMark/>
          </w:tcPr>
          <w:p w14:paraId="4C2A1015"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521,225 </w:t>
            </w:r>
          </w:p>
        </w:tc>
        <w:tc>
          <w:tcPr>
            <w:tcW w:w="1322" w:type="dxa"/>
            <w:tcBorders>
              <w:top w:val="nil"/>
              <w:left w:val="nil"/>
              <w:bottom w:val="single" w:sz="4" w:space="0" w:color="A6A6A6"/>
              <w:right w:val="single" w:sz="4" w:space="0" w:color="A6A6A6"/>
            </w:tcBorders>
            <w:shd w:val="clear" w:color="auto" w:fill="auto"/>
            <w:noWrap/>
            <w:vAlign w:val="bottom"/>
            <w:hideMark/>
          </w:tcPr>
          <w:p w14:paraId="04B7DDB5"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516,035 </w:t>
            </w:r>
          </w:p>
        </w:tc>
        <w:tc>
          <w:tcPr>
            <w:tcW w:w="1376" w:type="dxa"/>
            <w:tcBorders>
              <w:top w:val="nil"/>
              <w:left w:val="nil"/>
              <w:bottom w:val="single" w:sz="4" w:space="0" w:color="A6A6A6"/>
              <w:right w:val="single" w:sz="4" w:space="0" w:color="A6A6A6"/>
            </w:tcBorders>
            <w:shd w:val="clear" w:color="auto" w:fill="auto"/>
            <w:noWrap/>
            <w:vAlign w:val="bottom"/>
            <w:hideMark/>
          </w:tcPr>
          <w:p w14:paraId="1CC127B2"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461,717 </w:t>
            </w:r>
          </w:p>
        </w:tc>
        <w:tc>
          <w:tcPr>
            <w:tcW w:w="1260" w:type="dxa"/>
            <w:tcBorders>
              <w:top w:val="nil"/>
              <w:left w:val="nil"/>
              <w:bottom w:val="single" w:sz="4" w:space="0" w:color="A6A6A6"/>
              <w:right w:val="single" w:sz="4" w:space="0" w:color="A6A6A6"/>
            </w:tcBorders>
            <w:shd w:val="clear" w:color="auto" w:fill="auto"/>
            <w:noWrap/>
            <w:vAlign w:val="bottom"/>
            <w:hideMark/>
          </w:tcPr>
          <w:p w14:paraId="391CA152"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54,318 </w:t>
            </w:r>
          </w:p>
        </w:tc>
        <w:tc>
          <w:tcPr>
            <w:tcW w:w="1260" w:type="dxa"/>
            <w:tcBorders>
              <w:top w:val="nil"/>
              <w:left w:val="nil"/>
              <w:bottom w:val="single" w:sz="4" w:space="0" w:color="A6A6A6"/>
              <w:right w:val="single" w:sz="4" w:space="0" w:color="A6A6A6"/>
            </w:tcBorders>
            <w:shd w:val="clear" w:color="auto" w:fill="auto"/>
            <w:noWrap/>
            <w:vAlign w:val="bottom"/>
            <w:hideMark/>
          </w:tcPr>
          <w:p w14:paraId="1A658F79"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-10.5%</w:t>
            </w:r>
          </w:p>
        </w:tc>
      </w:tr>
      <w:tr w:rsidR="004F7DFF" w:rsidRPr="00382A62" w14:paraId="59FCE958" w14:textId="77777777" w:rsidTr="004F7DFF">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6F58CF52" w14:textId="77777777" w:rsidR="004F7DFF" w:rsidRPr="00382A62" w:rsidRDefault="004F7DFF" w:rsidP="004F7DFF">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Captación a Pasivo Total</w:t>
            </w:r>
          </w:p>
        </w:tc>
        <w:tc>
          <w:tcPr>
            <w:tcW w:w="1322" w:type="dxa"/>
            <w:tcBorders>
              <w:top w:val="nil"/>
              <w:left w:val="nil"/>
              <w:bottom w:val="single" w:sz="4" w:space="0" w:color="A6A6A6"/>
              <w:right w:val="single" w:sz="4" w:space="0" w:color="A6A6A6"/>
            </w:tcBorders>
            <w:shd w:val="clear" w:color="auto" w:fill="auto"/>
            <w:noWrap/>
            <w:vAlign w:val="bottom"/>
            <w:hideMark/>
          </w:tcPr>
          <w:p w14:paraId="3D166850"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20.7%</w:t>
            </w:r>
          </w:p>
        </w:tc>
        <w:tc>
          <w:tcPr>
            <w:tcW w:w="1322" w:type="dxa"/>
            <w:tcBorders>
              <w:top w:val="nil"/>
              <w:left w:val="nil"/>
              <w:bottom w:val="single" w:sz="4" w:space="0" w:color="A6A6A6"/>
              <w:right w:val="single" w:sz="4" w:space="0" w:color="A6A6A6"/>
            </w:tcBorders>
            <w:shd w:val="clear" w:color="auto" w:fill="auto"/>
            <w:noWrap/>
            <w:vAlign w:val="bottom"/>
            <w:hideMark/>
          </w:tcPr>
          <w:p w14:paraId="1FAC91B7"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20.9%</w:t>
            </w:r>
          </w:p>
        </w:tc>
        <w:tc>
          <w:tcPr>
            <w:tcW w:w="1376" w:type="dxa"/>
            <w:tcBorders>
              <w:top w:val="nil"/>
              <w:left w:val="nil"/>
              <w:bottom w:val="single" w:sz="4" w:space="0" w:color="A6A6A6"/>
              <w:right w:val="single" w:sz="4" w:space="0" w:color="A6A6A6"/>
            </w:tcBorders>
            <w:shd w:val="clear" w:color="auto" w:fill="auto"/>
            <w:noWrap/>
            <w:vAlign w:val="bottom"/>
            <w:hideMark/>
          </w:tcPr>
          <w:p w14:paraId="3A5EEC5A"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10.8%</w:t>
            </w:r>
          </w:p>
        </w:tc>
        <w:tc>
          <w:tcPr>
            <w:tcW w:w="1260" w:type="dxa"/>
            <w:tcBorders>
              <w:top w:val="nil"/>
              <w:left w:val="nil"/>
              <w:bottom w:val="single" w:sz="4" w:space="0" w:color="A6A6A6"/>
              <w:right w:val="single" w:sz="4" w:space="0" w:color="A6A6A6"/>
            </w:tcBorders>
            <w:shd w:val="clear" w:color="auto" w:fill="auto"/>
            <w:noWrap/>
            <w:vAlign w:val="bottom"/>
            <w:hideMark/>
          </w:tcPr>
          <w:p w14:paraId="669E0E7C"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-10.1%</w:t>
            </w:r>
          </w:p>
        </w:tc>
        <w:tc>
          <w:tcPr>
            <w:tcW w:w="1260" w:type="dxa"/>
            <w:tcBorders>
              <w:top w:val="nil"/>
              <w:left w:val="nil"/>
              <w:bottom w:val="single" w:sz="4" w:space="0" w:color="A6A6A6"/>
              <w:right w:val="single" w:sz="4" w:space="0" w:color="A6A6A6"/>
            </w:tcBorders>
            <w:shd w:val="clear" w:color="auto" w:fill="auto"/>
            <w:noWrap/>
            <w:vAlign w:val="bottom"/>
            <w:hideMark/>
          </w:tcPr>
          <w:p w14:paraId="589EAA6C"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-48.3%</w:t>
            </w:r>
          </w:p>
        </w:tc>
      </w:tr>
    </w:tbl>
    <w:p w14:paraId="36065471" w14:textId="77777777" w:rsidR="007605E6" w:rsidRPr="00382A62" w:rsidRDefault="007605E6" w:rsidP="007605E6">
      <w:pPr>
        <w:jc w:val="center"/>
        <w:rPr>
          <w:rFonts w:cs="Arial"/>
          <w:szCs w:val="20"/>
        </w:rPr>
      </w:pPr>
    </w:p>
    <w:p w14:paraId="2BE2506A" w14:textId="1B6868A9" w:rsidR="007605E6" w:rsidRPr="00382A62" w:rsidRDefault="007605E6" w:rsidP="007605E6">
      <w:pPr>
        <w:rPr>
          <w:rFonts w:cs="Arial"/>
          <w:szCs w:val="20"/>
        </w:rPr>
      </w:pPr>
      <w:r w:rsidRPr="00382A62">
        <w:rPr>
          <w:rFonts w:cs="Arial"/>
          <w:szCs w:val="20"/>
        </w:rPr>
        <w:t>Esta razón representa las captaciones de la empresa a largo plazo, respecto del pasivo total. Para el 202</w:t>
      </w:r>
      <w:r w:rsidR="00BC103A" w:rsidRPr="00382A62">
        <w:rPr>
          <w:rFonts w:cs="Arial"/>
          <w:szCs w:val="20"/>
        </w:rPr>
        <w:t>2</w:t>
      </w:r>
      <w:r w:rsidRPr="00382A62">
        <w:rPr>
          <w:rFonts w:cs="Arial"/>
          <w:szCs w:val="20"/>
        </w:rPr>
        <w:t xml:space="preserve">, este indicador presenta </w:t>
      </w:r>
      <w:r w:rsidR="00BC103A" w:rsidRPr="00382A62">
        <w:rPr>
          <w:rFonts w:cs="Arial"/>
          <w:szCs w:val="20"/>
        </w:rPr>
        <w:t xml:space="preserve">una </w:t>
      </w:r>
      <w:r w:rsidR="00A70116" w:rsidRPr="00382A62">
        <w:rPr>
          <w:rFonts w:cs="Arial"/>
          <w:szCs w:val="20"/>
        </w:rPr>
        <w:t>disminución, debido</w:t>
      </w:r>
      <w:r w:rsidRPr="00382A62">
        <w:rPr>
          <w:rFonts w:cs="Arial"/>
          <w:szCs w:val="20"/>
        </w:rPr>
        <w:t xml:space="preserve"> a </w:t>
      </w:r>
      <w:r w:rsidR="00BC103A" w:rsidRPr="00382A62">
        <w:rPr>
          <w:rFonts w:cs="Arial"/>
          <w:szCs w:val="20"/>
        </w:rPr>
        <w:t xml:space="preserve"> </w:t>
      </w:r>
      <w:r w:rsidR="00B15717" w:rsidRPr="00382A62">
        <w:rPr>
          <w:rFonts w:cs="Arial"/>
          <w:szCs w:val="20"/>
        </w:rPr>
        <w:t>variaciones</w:t>
      </w:r>
      <w:r w:rsidR="00BC103A" w:rsidRPr="00382A62">
        <w:rPr>
          <w:rFonts w:cs="Arial"/>
          <w:szCs w:val="20"/>
        </w:rPr>
        <w:t xml:space="preserve"> en el tipo de cambio que afecta los pasivos </w:t>
      </w:r>
      <w:r w:rsidR="00ED3C82" w:rsidRPr="00382A62">
        <w:rPr>
          <w:rFonts w:cs="Arial"/>
          <w:szCs w:val="20"/>
        </w:rPr>
        <w:t xml:space="preserve">denominados en la moneda dólar, el vencimientos de </w:t>
      </w:r>
      <w:r w:rsidR="00B15717" w:rsidRPr="00382A62">
        <w:rPr>
          <w:rFonts w:cs="Arial"/>
          <w:szCs w:val="20"/>
        </w:rPr>
        <w:t>3 programas de bonos estandarizados en el año 2023 y amortización de deudas con terceros que ha realizado la compañía.</w:t>
      </w:r>
    </w:p>
    <w:p w14:paraId="2433B26C" w14:textId="77777777" w:rsidR="007605E6" w:rsidRPr="00382A62" w:rsidRDefault="007605E6" w:rsidP="007605E6">
      <w:pPr>
        <w:pStyle w:val="Ttulo3"/>
        <w:numPr>
          <w:ilvl w:val="1"/>
          <w:numId w:val="10"/>
        </w:numPr>
        <w:rPr>
          <w:rFonts w:cs="Arial"/>
          <w:sz w:val="20"/>
          <w:szCs w:val="20"/>
        </w:rPr>
      </w:pPr>
      <w:bookmarkStart w:id="96" w:name="_Toc131092875"/>
      <w:bookmarkStart w:id="97" w:name="_Toc131501074"/>
      <w:bookmarkStart w:id="98" w:name="_Toc169624633"/>
      <w:r w:rsidRPr="00382A62">
        <w:rPr>
          <w:rFonts w:cs="Arial"/>
          <w:sz w:val="20"/>
          <w:szCs w:val="20"/>
        </w:rPr>
        <w:t>Capitalización</w:t>
      </w:r>
      <w:bookmarkEnd w:id="96"/>
      <w:bookmarkEnd w:id="97"/>
      <w:bookmarkEnd w:id="98"/>
    </w:p>
    <w:p w14:paraId="6E50B0C0" w14:textId="77777777" w:rsidR="007605E6" w:rsidRPr="00382A62" w:rsidRDefault="007605E6" w:rsidP="007605E6">
      <w:pPr>
        <w:pStyle w:val="Prrafodelista"/>
        <w:numPr>
          <w:ilvl w:val="0"/>
          <w:numId w:val="23"/>
        </w:numPr>
        <w:rPr>
          <w:rFonts w:cs="Arial"/>
          <w:b/>
          <w:bCs/>
          <w:szCs w:val="20"/>
        </w:rPr>
      </w:pPr>
      <w:r w:rsidRPr="00382A62">
        <w:rPr>
          <w:rFonts w:cs="Arial"/>
          <w:b/>
          <w:bCs/>
          <w:szCs w:val="20"/>
        </w:rPr>
        <w:t>Dividendos</w:t>
      </w:r>
    </w:p>
    <w:p w14:paraId="28999596" w14:textId="77777777" w:rsidR="007605E6" w:rsidRPr="00382A62" w:rsidRDefault="007605E6" w:rsidP="007605E6">
      <w:pPr>
        <w:rPr>
          <w:rFonts w:cs="Arial"/>
          <w:szCs w:val="20"/>
        </w:rPr>
      </w:pPr>
      <w:r w:rsidRPr="00382A62">
        <w:rPr>
          <w:rFonts w:cs="Arial"/>
          <w:szCs w:val="20"/>
        </w:rPr>
        <w:t>Actualmente, la Compañía no tiene una política de dividendos, pero ha mantenido activa la distribución de utilidades durante los últimos 10 años, tal como se muestra en el siguiente detalle:</w:t>
      </w:r>
    </w:p>
    <w:p w14:paraId="7A3B9B26" w14:textId="77777777" w:rsidR="00477247" w:rsidRDefault="00477247" w:rsidP="007605E6">
      <w:pPr>
        <w:pStyle w:val="Descripcin"/>
        <w:spacing w:line="240" w:lineRule="auto"/>
        <w:contextualSpacing/>
        <w:rPr>
          <w:rFonts w:cs="Arial"/>
          <w:szCs w:val="20"/>
        </w:rPr>
      </w:pPr>
    </w:p>
    <w:p w14:paraId="52AE2771" w14:textId="77777777" w:rsidR="00477247" w:rsidRDefault="00477247" w:rsidP="007605E6">
      <w:pPr>
        <w:pStyle w:val="Descripcin"/>
        <w:spacing w:line="240" w:lineRule="auto"/>
        <w:contextualSpacing/>
        <w:rPr>
          <w:rFonts w:cs="Arial"/>
          <w:szCs w:val="20"/>
        </w:rPr>
      </w:pPr>
    </w:p>
    <w:p w14:paraId="7B34B596" w14:textId="77777777" w:rsidR="00477247" w:rsidRDefault="00477247" w:rsidP="007605E6">
      <w:pPr>
        <w:pStyle w:val="Descripcin"/>
        <w:spacing w:line="240" w:lineRule="auto"/>
        <w:contextualSpacing/>
        <w:rPr>
          <w:rFonts w:cs="Arial"/>
          <w:szCs w:val="20"/>
        </w:rPr>
      </w:pPr>
    </w:p>
    <w:p w14:paraId="6B5536FB" w14:textId="77777777" w:rsidR="00477247" w:rsidRDefault="00477247" w:rsidP="007605E6">
      <w:pPr>
        <w:pStyle w:val="Descripcin"/>
        <w:spacing w:line="240" w:lineRule="auto"/>
        <w:contextualSpacing/>
        <w:rPr>
          <w:rFonts w:cs="Arial"/>
          <w:szCs w:val="20"/>
        </w:rPr>
      </w:pPr>
    </w:p>
    <w:p w14:paraId="0A67E7B4" w14:textId="30273627" w:rsidR="007605E6" w:rsidRPr="00382A62" w:rsidRDefault="007605E6" w:rsidP="007605E6">
      <w:pPr>
        <w:pStyle w:val="Descripcin"/>
        <w:spacing w:line="240" w:lineRule="auto"/>
        <w:contextualSpacing/>
        <w:rPr>
          <w:rFonts w:cs="Arial"/>
          <w:szCs w:val="20"/>
        </w:rPr>
      </w:pPr>
      <w:bookmarkStart w:id="99" w:name="_Toc169624723"/>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27</w:t>
      </w:r>
      <w:r w:rsidR="00423C23" w:rsidRPr="00382A62">
        <w:rPr>
          <w:rFonts w:cs="Arial"/>
          <w:noProof/>
          <w:szCs w:val="20"/>
        </w:rPr>
        <w:fldChar w:fldCharType="end"/>
      </w:r>
      <w:r w:rsidRPr="00382A62">
        <w:rPr>
          <w:rFonts w:cs="Arial"/>
          <w:szCs w:val="20"/>
        </w:rPr>
        <w:t xml:space="preserve"> - Distribución de utilidades de los últimos 10 años (en millones de colones)</w:t>
      </w:r>
      <w:bookmarkEnd w:id="99"/>
    </w:p>
    <w:tbl>
      <w:tblPr>
        <w:tblW w:w="823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539"/>
        <w:gridCol w:w="1701"/>
        <w:gridCol w:w="1418"/>
        <w:gridCol w:w="1577"/>
      </w:tblGrid>
      <w:tr w:rsidR="007605E6" w:rsidRPr="00382A62" w14:paraId="5D7B21BC" w14:textId="77777777" w:rsidTr="007D00B2">
        <w:trPr>
          <w:trHeight w:val="525"/>
          <w:tblHeader/>
          <w:jc w:val="center"/>
        </w:trPr>
        <w:tc>
          <w:tcPr>
            <w:tcW w:w="3539" w:type="dxa"/>
            <w:shd w:val="clear" w:color="auto" w:fill="F2F2F2" w:themeFill="background1" w:themeFillShade="F2"/>
            <w:vAlign w:val="center"/>
            <w:hideMark/>
          </w:tcPr>
          <w:p w14:paraId="4F3087AE"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Período</w:t>
            </w:r>
          </w:p>
          <w:p w14:paraId="13D20D42" w14:textId="184F5C9D" w:rsidR="007605E6" w:rsidRPr="00382A62" w:rsidRDefault="007605E6" w:rsidP="007D00B2">
            <w:pPr>
              <w:spacing w:line="276" w:lineRule="auto"/>
              <w:contextualSpacing/>
              <w:jc w:val="center"/>
              <w:rPr>
                <w:rFonts w:cs="Arial"/>
                <w:b/>
                <w:bCs/>
                <w:szCs w:val="20"/>
              </w:rPr>
            </w:pPr>
            <w:r w:rsidRPr="00382A62">
              <w:rPr>
                <w:rFonts w:cs="Arial"/>
                <w:b/>
                <w:bCs/>
                <w:szCs w:val="20"/>
              </w:rPr>
              <w:t>(al 3</w:t>
            </w:r>
            <w:r w:rsidR="00BB0935">
              <w:rPr>
                <w:rFonts w:cs="Arial"/>
                <w:b/>
                <w:bCs/>
                <w:szCs w:val="20"/>
              </w:rPr>
              <w:t>1</w:t>
            </w:r>
            <w:r w:rsidRPr="00382A62">
              <w:rPr>
                <w:rFonts w:cs="Arial"/>
                <w:b/>
                <w:bCs/>
                <w:szCs w:val="20"/>
              </w:rPr>
              <w:t xml:space="preserve"> de </w:t>
            </w:r>
            <w:r w:rsidR="00BB0935">
              <w:rPr>
                <w:rFonts w:cs="Arial"/>
                <w:b/>
                <w:bCs/>
                <w:szCs w:val="20"/>
              </w:rPr>
              <w:t>dic</w:t>
            </w:r>
            <w:r w:rsidRPr="00382A62">
              <w:rPr>
                <w:rFonts w:cs="Arial"/>
                <w:b/>
                <w:bCs/>
                <w:szCs w:val="20"/>
              </w:rPr>
              <w:t>iembre de cada año)</w:t>
            </w:r>
          </w:p>
        </w:tc>
        <w:tc>
          <w:tcPr>
            <w:tcW w:w="1701" w:type="dxa"/>
            <w:shd w:val="clear" w:color="auto" w:fill="F2F2F2" w:themeFill="background1" w:themeFillShade="F2"/>
            <w:vAlign w:val="center"/>
            <w:hideMark/>
          </w:tcPr>
          <w:p w14:paraId="7C5357CB"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Utilidad Neta (1)</w:t>
            </w:r>
          </w:p>
        </w:tc>
        <w:tc>
          <w:tcPr>
            <w:tcW w:w="1418" w:type="dxa"/>
            <w:shd w:val="clear" w:color="auto" w:fill="F2F2F2" w:themeFill="background1" w:themeFillShade="F2"/>
            <w:vAlign w:val="center"/>
            <w:hideMark/>
          </w:tcPr>
          <w:p w14:paraId="245BF724"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Dividendos</w:t>
            </w:r>
          </w:p>
        </w:tc>
        <w:tc>
          <w:tcPr>
            <w:tcW w:w="1577" w:type="dxa"/>
            <w:shd w:val="clear" w:color="auto" w:fill="F2F2F2" w:themeFill="background1" w:themeFillShade="F2"/>
            <w:vAlign w:val="center"/>
            <w:hideMark/>
          </w:tcPr>
          <w:p w14:paraId="7724E53C"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 de la Utilidad Neta</w:t>
            </w:r>
          </w:p>
        </w:tc>
      </w:tr>
      <w:tr w:rsidR="00B94E52" w:rsidRPr="00382A62" w14:paraId="4F7AC42C" w14:textId="77777777" w:rsidTr="007D00B2">
        <w:trPr>
          <w:trHeight w:val="255"/>
          <w:jc w:val="center"/>
        </w:trPr>
        <w:tc>
          <w:tcPr>
            <w:tcW w:w="3539" w:type="dxa"/>
            <w:shd w:val="clear" w:color="000000" w:fill="FFFFFF"/>
            <w:noWrap/>
            <w:vAlign w:val="bottom"/>
            <w:hideMark/>
          </w:tcPr>
          <w:p w14:paraId="57CA1BB6" w14:textId="7B2297CC" w:rsidR="00B94E52" w:rsidRPr="00382A62" w:rsidRDefault="00B94E52" w:rsidP="00B94E52">
            <w:pPr>
              <w:spacing w:line="276" w:lineRule="auto"/>
              <w:contextualSpacing/>
              <w:rPr>
                <w:rFonts w:cs="Arial"/>
                <w:szCs w:val="20"/>
              </w:rPr>
            </w:pPr>
            <w:r w:rsidRPr="00382A62">
              <w:rPr>
                <w:rFonts w:cs="Arial"/>
                <w:szCs w:val="20"/>
              </w:rPr>
              <w:t>2014</w:t>
            </w:r>
            <w:r w:rsidR="00BB0935">
              <w:rPr>
                <w:rFonts w:cs="Arial"/>
                <w:szCs w:val="20"/>
              </w:rPr>
              <w:t xml:space="preserve"> (2)</w:t>
            </w:r>
          </w:p>
        </w:tc>
        <w:tc>
          <w:tcPr>
            <w:tcW w:w="1701" w:type="dxa"/>
            <w:shd w:val="clear" w:color="000000" w:fill="FFFFFF"/>
            <w:noWrap/>
            <w:vAlign w:val="center"/>
            <w:hideMark/>
          </w:tcPr>
          <w:p w14:paraId="7F95FCF7" w14:textId="46531770" w:rsidR="00B94E52" w:rsidRPr="00382A62" w:rsidRDefault="00B94E52" w:rsidP="00B94E52">
            <w:pPr>
              <w:spacing w:line="276" w:lineRule="auto"/>
              <w:contextualSpacing/>
              <w:jc w:val="center"/>
              <w:rPr>
                <w:rFonts w:cs="Arial"/>
                <w:szCs w:val="20"/>
              </w:rPr>
            </w:pPr>
            <w:r w:rsidRPr="00382A62">
              <w:rPr>
                <w:rFonts w:cs="Arial"/>
                <w:szCs w:val="20"/>
              </w:rPr>
              <w:t>¢ 36.507</w:t>
            </w:r>
          </w:p>
        </w:tc>
        <w:tc>
          <w:tcPr>
            <w:tcW w:w="1418" w:type="dxa"/>
            <w:shd w:val="clear" w:color="000000" w:fill="FFFFFF"/>
            <w:noWrap/>
            <w:vAlign w:val="center"/>
            <w:hideMark/>
          </w:tcPr>
          <w:p w14:paraId="3816867E" w14:textId="11A7C70C" w:rsidR="00B94E52" w:rsidRPr="00382A62" w:rsidRDefault="00B94E52" w:rsidP="00B94E52">
            <w:pPr>
              <w:spacing w:line="276" w:lineRule="auto"/>
              <w:contextualSpacing/>
              <w:jc w:val="center"/>
              <w:rPr>
                <w:rFonts w:cs="Arial"/>
                <w:szCs w:val="20"/>
              </w:rPr>
            </w:pPr>
            <w:r w:rsidRPr="00382A62">
              <w:rPr>
                <w:rFonts w:cs="Arial"/>
                <w:szCs w:val="20"/>
              </w:rPr>
              <w:t>¢ 19.887</w:t>
            </w:r>
          </w:p>
        </w:tc>
        <w:tc>
          <w:tcPr>
            <w:tcW w:w="1577" w:type="dxa"/>
            <w:shd w:val="clear" w:color="000000" w:fill="FFFFFF"/>
            <w:noWrap/>
            <w:vAlign w:val="center"/>
            <w:hideMark/>
          </w:tcPr>
          <w:p w14:paraId="533265DD" w14:textId="4C24AC11" w:rsidR="00B94E52" w:rsidRPr="00382A62" w:rsidRDefault="00B94E52" w:rsidP="00B94E52">
            <w:pPr>
              <w:spacing w:line="276" w:lineRule="auto"/>
              <w:contextualSpacing/>
              <w:jc w:val="center"/>
              <w:rPr>
                <w:rFonts w:cs="Arial"/>
                <w:szCs w:val="20"/>
              </w:rPr>
            </w:pPr>
            <w:r w:rsidRPr="00382A62">
              <w:rPr>
                <w:rFonts w:cs="Arial"/>
                <w:szCs w:val="20"/>
              </w:rPr>
              <w:t>54,5%</w:t>
            </w:r>
          </w:p>
        </w:tc>
      </w:tr>
      <w:tr w:rsidR="00B94E52" w:rsidRPr="00382A62" w14:paraId="321260DB" w14:textId="77777777" w:rsidTr="007D00B2">
        <w:trPr>
          <w:trHeight w:val="255"/>
          <w:jc w:val="center"/>
        </w:trPr>
        <w:tc>
          <w:tcPr>
            <w:tcW w:w="3539" w:type="dxa"/>
            <w:shd w:val="clear" w:color="000000" w:fill="FFFFFF"/>
            <w:noWrap/>
            <w:vAlign w:val="bottom"/>
            <w:hideMark/>
          </w:tcPr>
          <w:p w14:paraId="33C4B39C" w14:textId="18389070" w:rsidR="00B94E52" w:rsidRPr="00382A62" w:rsidRDefault="00B94E52" w:rsidP="00B94E52">
            <w:pPr>
              <w:spacing w:line="276" w:lineRule="auto"/>
              <w:contextualSpacing/>
              <w:rPr>
                <w:rFonts w:cs="Arial"/>
                <w:szCs w:val="20"/>
              </w:rPr>
            </w:pPr>
            <w:r w:rsidRPr="00382A62">
              <w:rPr>
                <w:rFonts w:cs="Arial"/>
                <w:szCs w:val="20"/>
              </w:rPr>
              <w:t>2015</w:t>
            </w:r>
            <w:r w:rsidR="00BB0935">
              <w:rPr>
                <w:rFonts w:cs="Arial"/>
                <w:szCs w:val="20"/>
              </w:rPr>
              <w:t xml:space="preserve"> (2)</w:t>
            </w:r>
          </w:p>
        </w:tc>
        <w:tc>
          <w:tcPr>
            <w:tcW w:w="1701" w:type="dxa"/>
            <w:shd w:val="clear" w:color="000000" w:fill="FFFFFF"/>
            <w:noWrap/>
            <w:vAlign w:val="center"/>
            <w:hideMark/>
          </w:tcPr>
          <w:p w14:paraId="1C2B4988" w14:textId="2C13BF31" w:rsidR="00B94E52" w:rsidRPr="00382A62" w:rsidRDefault="00B94E52" w:rsidP="00B94E52">
            <w:pPr>
              <w:spacing w:line="276" w:lineRule="auto"/>
              <w:contextualSpacing/>
              <w:jc w:val="center"/>
              <w:rPr>
                <w:rFonts w:cs="Arial"/>
                <w:szCs w:val="20"/>
              </w:rPr>
            </w:pPr>
            <w:r w:rsidRPr="00382A62">
              <w:rPr>
                <w:rFonts w:cs="Arial"/>
                <w:szCs w:val="20"/>
              </w:rPr>
              <w:t>¢ 45.856</w:t>
            </w:r>
          </w:p>
        </w:tc>
        <w:tc>
          <w:tcPr>
            <w:tcW w:w="1418" w:type="dxa"/>
            <w:shd w:val="clear" w:color="000000" w:fill="FFFFFF"/>
            <w:noWrap/>
            <w:vAlign w:val="center"/>
            <w:hideMark/>
          </w:tcPr>
          <w:p w14:paraId="43B0A26D" w14:textId="1ECCC5B4" w:rsidR="00B94E52" w:rsidRPr="00382A62" w:rsidRDefault="00B94E52" w:rsidP="00B94E52">
            <w:pPr>
              <w:spacing w:line="276" w:lineRule="auto"/>
              <w:contextualSpacing/>
              <w:jc w:val="center"/>
              <w:rPr>
                <w:rFonts w:cs="Arial"/>
                <w:szCs w:val="20"/>
              </w:rPr>
            </w:pPr>
            <w:r w:rsidRPr="00382A62">
              <w:rPr>
                <w:rFonts w:cs="Arial"/>
                <w:szCs w:val="20"/>
              </w:rPr>
              <w:t>¢ 21.531</w:t>
            </w:r>
          </w:p>
        </w:tc>
        <w:tc>
          <w:tcPr>
            <w:tcW w:w="1577" w:type="dxa"/>
            <w:shd w:val="clear" w:color="000000" w:fill="FFFFFF"/>
            <w:noWrap/>
            <w:vAlign w:val="center"/>
            <w:hideMark/>
          </w:tcPr>
          <w:p w14:paraId="6A53F607" w14:textId="36E95632" w:rsidR="00B94E52" w:rsidRPr="00382A62" w:rsidRDefault="00B94E52" w:rsidP="00B94E52">
            <w:pPr>
              <w:spacing w:line="276" w:lineRule="auto"/>
              <w:contextualSpacing/>
              <w:jc w:val="center"/>
              <w:rPr>
                <w:rFonts w:cs="Arial"/>
                <w:szCs w:val="20"/>
              </w:rPr>
            </w:pPr>
            <w:r w:rsidRPr="00382A62">
              <w:rPr>
                <w:rFonts w:cs="Arial"/>
                <w:szCs w:val="20"/>
              </w:rPr>
              <w:t>47,0%</w:t>
            </w:r>
          </w:p>
        </w:tc>
      </w:tr>
      <w:tr w:rsidR="00B94E52" w:rsidRPr="00382A62" w14:paraId="76E48C40" w14:textId="77777777" w:rsidTr="007D00B2">
        <w:trPr>
          <w:trHeight w:val="255"/>
          <w:jc w:val="center"/>
        </w:trPr>
        <w:tc>
          <w:tcPr>
            <w:tcW w:w="3539" w:type="dxa"/>
            <w:shd w:val="clear" w:color="000000" w:fill="FFFFFF"/>
            <w:noWrap/>
            <w:vAlign w:val="bottom"/>
            <w:hideMark/>
          </w:tcPr>
          <w:p w14:paraId="061A8422" w14:textId="03C2FC0D" w:rsidR="00B94E52" w:rsidRPr="00382A62" w:rsidRDefault="00B94E52" w:rsidP="00B94E52">
            <w:pPr>
              <w:spacing w:line="276" w:lineRule="auto"/>
              <w:contextualSpacing/>
              <w:rPr>
                <w:rFonts w:cs="Arial"/>
                <w:szCs w:val="20"/>
              </w:rPr>
            </w:pPr>
            <w:r w:rsidRPr="00382A62">
              <w:rPr>
                <w:rFonts w:cs="Arial"/>
                <w:szCs w:val="20"/>
              </w:rPr>
              <w:t>2016</w:t>
            </w:r>
            <w:r w:rsidR="00BB0935">
              <w:rPr>
                <w:rFonts w:cs="Arial"/>
                <w:szCs w:val="20"/>
              </w:rPr>
              <w:t xml:space="preserve"> (2)</w:t>
            </w:r>
          </w:p>
        </w:tc>
        <w:tc>
          <w:tcPr>
            <w:tcW w:w="1701" w:type="dxa"/>
            <w:shd w:val="clear" w:color="000000" w:fill="FFFFFF"/>
            <w:noWrap/>
            <w:vAlign w:val="center"/>
            <w:hideMark/>
          </w:tcPr>
          <w:p w14:paraId="424BC645" w14:textId="2B045FC7" w:rsidR="00B94E52" w:rsidRPr="00382A62" w:rsidRDefault="00B94E52" w:rsidP="00B94E52">
            <w:pPr>
              <w:spacing w:line="276" w:lineRule="auto"/>
              <w:contextualSpacing/>
              <w:jc w:val="center"/>
              <w:rPr>
                <w:rFonts w:cs="Arial"/>
                <w:szCs w:val="20"/>
              </w:rPr>
            </w:pPr>
            <w:r w:rsidRPr="00382A62">
              <w:rPr>
                <w:rFonts w:cs="Arial"/>
                <w:szCs w:val="20"/>
              </w:rPr>
              <w:t>¢ 55.932</w:t>
            </w:r>
          </w:p>
        </w:tc>
        <w:tc>
          <w:tcPr>
            <w:tcW w:w="1418" w:type="dxa"/>
            <w:shd w:val="clear" w:color="000000" w:fill="FFFFFF"/>
            <w:noWrap/>
            <w:vAlign w:val="center"/>
            <w:hideMark/>
          </w:tcPr>
          <w:p w14:paraId="70022E90" w14:textId="30BBCC50" w:rsidR="00B94E52" w:rsidRPr="00382A62" w:rsidRDefault="00B94E52" w:rsidP="00B94E52">
            <w:pPr>
              <w:spacing w:line="276" w:lineRule="auto"/>
              <w:contextualSpacing/>
              <w:jc w:val="center"/>
              <w:rPr>
                <w:rFonts w:cs="Arial"/>
                <w:szCs w:val="20"/>
              </w:rPr>
            </w:pPr>
            <w:r w:rsidRPr="00382A62">
              <w:rPr>
                <w:rFonts w:cs="Arial"/>
                <w:szCs w:val="20"/>
              </w:rPr>
              <w:t>¢ 23.907</w:t>
            </w:r>
          </w:p>
        </w:tc>
        <w:tc>
          <w:tcPr>
            <w:tcW w:w="1577" w:type="dxa"/>
            <w:shd w:val="clear" w:color="000000" w:fill="FFFFFF"/>
            <w:noWrap/>
            <w:vAlign w:val="center"/>
            <w:hideMark/>
          </w:tcPr>
          <w:p w14:paraId="1EC140ED" w14:textId="3F700072" w:rsidR="00B94E52" w:rsidRPr="00382A62" w:rsidRDefault="00B94E52" w:rsidP="00B94E52">
            <w:pPr>
              <w:spacing w:line="276" w:lineRule="auto"/>
              <w:contextualSpacing/>
              <w:jc w:val="center"/>
              <w:rPr>
                <w:rFonts w:cs="Arial"/>
                <w:szCs w:val="20"/>
              </w:rPr>
            </w:pPr>
            <w:r w:rsidRPr="00382A62">
              <w:rPr>
                <w:rFonts w:cs="Arial"/>
                <w:szCs w:val="20"/>
              </w:rPr>
              <w:t>42,7%</w:t>
            </w:r>
          </w:p>
        </w:tc>
      </w:tr>
      <w:tr w:rsidR="00B94E52" w:rsidRPr="00382A62" w14:paraId="64715EAD" w14:textId="77777777" w:rsidTr="007D00B2">
        <w:trPr>
          <w:trHeight w:val="255"/>
          <w:jc w:val="center"/>
        </w:trPr>
        <w:tc>
          <w:tcPr>
            <w:tcW w:w="3539" w:type="dxa"/>
            <w:shd w:val="clear" w:color="000000" w:fill="FFFFFF"/>
            <w:noWrap/>
            <w:vAlign w:val="bottom"/>
            <w:hideMark/>
          </w:tcPr>
          <w:p w14:paraId="38E57062" w14:textId="645BDCA7" w:rsidR="00B94E52" w:rsidRPr="00382A62" w:rsidRDefault="00B94E52" w:rsidP="00B94E52">
            <w:pPr>
              <w:spacing w:line="276" w:lineRule="auto"/>
              <w:contextualSpacing/>
              <w:rPr>
                <w:rFonts w:cs="Arial"/>
                <w:szCs w:val="20"/>
              </w:rPr>
            </w:pPr>
            <w:r w:rsidRPr="00382A62">
              <w:rPr>
                <w:rFonts w:cs="Arial"/>
                <w:szCs w:val="20"/>
              </w:rPr>
              <w:t>2017</w:t>
            </w:r>
            <w:r w:rsidR="00BB0935">
              <w:rPr>
                <w:rFonts w:cs="Arial"/>
                <w:szCs w:val="20"/>
              </w:rPr>
              <w:t xml:space="preserve"> (2)</w:t>
            </w:r>
          </w:p>
        </w:tc>
        <w:tc>
          <w:tcPr>
            <w:tcW w:w="1701" w:type="dxa"/>
            <w:shd w:val="clear" w:color="000000" w:fill="FFFFFF"/>
            <w:noWrap/>
            <w:vAlign w:val="center"/>
            <w:hideMark/>
          </w:tcPr>
          <w:p w14:paraId="55152044" w14:textId="40199ED2" w:rsidR="00B94E52" w:rsidRPr="00382A62" w:rsidRDefault="00B94E52" w:rsidP="00B94E52">
            <w:pPr>
              <w:spacing w:line="276" w:lineRule="auto"/>
              <w:contextualSpacing/>
              <w:jc w:val="center"/>
              <w:rPr>
                <w:rFonts w:cs="Arial"/>
                <w:szCs w:val="20"/>
              </w:rPr>
            </w:pPr>
            <w:r w:rsidRPr="00382A62">
              <w:rPr>
                <w:rFonts w:cs="Arial"/>
                <w:szCs w:val="20"/>
              </w:rPr>
              <w:t>¢ 54.784</w:t>
            </w:r>
          </w:p>
        </w:tc>
        <w:tc>
          <w:tcPr>
            <w:tcW w:w="1418" w:type="dxa"/>
            <w:shd w:val="clear" w:color="000000" w:fill="FFFFFF"/>
            <w:noWrap/>
            <w:vAlign w:val="center"/>
            <w:hideMark/>
          </w:tcPr>
          <w:p w14:paraId="2683A12E" w14:textId="2BC7966F" w:rsidR="00B94E52" w:rsidRPr="00382A62" w:rsidRDefault="00B94E52" w:rsidP="00B94E52">
            <w:pPr>
              <w:spacing w:line="276" w:lineRule="auto"/>
              <w:contextualSpacing/>
              <w:jc w:val="center"/>
              <w:rPr>
                <w:rFonts w:cs="Arial"/>
                <w:szCs w:val="20"/>
              </w:rPr>
            </w:pPr>
            <w:r w:rsidRPr="00382A62">
              <w:rPr>
                <w:rFonts w:cs="Arial"/>
                <w:szCs w:val="20"/>
              </w:rPr>
              <w:t>¢ 26.889</w:t>
            </w:r>
          </w:p>
        </w:tc>
        <w:tc>
          <w:tcPr>
            <w:tcW w:w="1577" w:type="dxa"/>
            <w:shd w:val="clear" w:color="000000" w:fill="FFFFFF"/>
            <w:noWrap/>
            <w:vAlign w:val="center"/>
            <w:hideMark/>
          </w:tcPr>
          <w:p w14:paraId="22CB1856" w14:textId="742EC245" w:rsidR="00B94E52" w:rsidRPr="00382A62" w:rsidRDefault="00B94E52" w:rsidP="00B94E52">
            <w:pPr>
              <w:spacing w:line="276" w:lineRule="auto"/>
              <w:contextualSpacing/>
              <w:jc w:val="center"/>
              <w:rPr>
                <w:rFonts w:cs="Arial"/>
                <w:szCs w:val="20"/>
              </w:rPr>
            </w:pPr>
            <w:r w:rsidRPr="00382A62">
              <w:rPr>
                <w:rFonts w:cs="Arial"/>
                <w:szCs w:val="20"/>
              </w:rPr>
              <w:t>49,1%</w:t>
            </w:r>
          </w:p>
        </w:tc>
      </w:tr>
      <w:tr w:rsidR="00B94E52" w:rsidRPr="00382A62" w14:paraId="62C65412" w14:textId="77777777" w:rsidTr="007D00B2">
        <w:trPr>
          <w:trHeight w:val="255"/>
          <w:jc w:val="center"/>
        </w:trPr>
        <w:tc>
          <w:tcPr>
            <w:tcW w:w="3539" w:type="dxa"/>
            <w:shd w:val="clear" w:color="000000" w:fill="FFFFFF"/>
            <w:noWrap/>
            <w:vAlign w:val="bottom"/>
            <w:hideMark/>
          </w:tcPr>
          <w:p w14:paraId="6C49FEF8" w14:textId="63072E42" w:rsidR="00B94E52" w:rsidRPr="00382A62" w:rsidRDefault="00B94E52" w:rsidP="00B94E52">
            <w:pPr>
              <w:spacing w:line="276" w:lineRule="auto"/>
              <w:contextualSpacing/>
              <w:rPr>
                <w:rFonts w:cs="Arial"/>
                <w:szCs w:val="20"/>
              </w:rPr>
            </w:pPr>
            <w:r w:rsidRPr="00382A62">
              <w:rPr>
                <w:rFonts w:cs="Arial"/>
                <w:szCs w:val="20"/>
              </w:rPr>
              <w:t>2018</w:t>
            </w:r>
            <w:r w:rsidR="00BB0935">
              <w:rPr>
                <w:rFonts w:cs="Arial"/>
                <w:szCs w:val="20"/>
              </w:rPr>
              <w:t xml:space="preserve"> (2)</w:t>
            </w:r>
          </w:p>
        </w:tc>
        <w:tc>
          <w:tcPr>
            <w:tcW w:w="1701" w:type="dxa"/>
            <w:shd w:val="clear" w:color="000000" w:fill="FFFFFF"/>
            <w:noWrap/>
            <w:vAlign w:val="center"/>
            <w:hideMark/>
          </w:tcPr>
          <w:p w14:paraId="6DC74E0D" w14:textId="452AA408" w:rsidR="00B94E52" w:rsidRPr="00382A62" w:rsidRDefault="00B94E52" w:rsidP="00B94E52">
            <w:pPr>
              <w:spacing w:line="276" w:lineRule="auto"/>
              <w:contextualSpacing/>
              <w:jc w:val="center"/>
              <w:rPr>
                <w:rFonts w:cs="Arial"/>
                <w:szCs w:val="20"/>
              </w:rPr>
            </w:pPr>
            <w:r w:rsidRPr="00382A62">
              <w:rPr>
                <w:rFonts w:cs="Arial"/>
                <w:szCs w:val="20"/>
              </w:rPr>
              <w:t>¢ 46.170</w:t>
            </w:r>
          </w:p>
        </w:tc>
        <w:tc>
          <w:tcPr>
            <w:tcW w:w="1418" w:type="dxa"/>
            <w:shd w:val="clear" w:color="000000" w:fill="FFFFFF"/>
            <w:noWrap/>
            <w:vAlign w:val="center"/>
            <w:hideMark/>
          </w:tcPr>
          <w:p w14:paraId="120A4089" w14:textId="29755E40" w:rsidR="00B94E52" w:rsidRPr="00382A62" w:rsidRDefault="00B94E52" w:rsidP="00B94E52">
            <w:pPr>
              <w:spacing w:line="276" w:lineRule="auto"/>
              <w:contextualSpacing/>
              <w:jc w:val="center"/>
              <w:rPr>
                <w:rFonts w:cs="Arial"/>
                <w:szCs w:val="20"/>
              </w:rPr>
            </w:pPr>
            <w:r w:rsidRPr="00382A62">
              <w:rPr>
                <w:rFonts w:cs="Arial"/>
                <w:szCs w:val="20"/>
              </w:rPr>
              <w:t>¢ 29.164</w:t>
            </w:r>
          </w:p>
        </w:tc>
        <w:tc>
          <w:tcPr>
            <w:tcW w:w="1577" w:type="dxa"/>
            <w:shd w:val="clear" w:color="000000" w:fill="FFFFFF"/>
            <w:noWrap/>
            <w:vAlign w:val="center"/>
            <w:hideMark/>
          </w:tcPr>
          <w:p w14:paraId="2E5A8C55" w14:textId="1C39A2A7" w:rsidR="00B94E52" w:rsidRPr="00382A62" w:rsidRDefault="00B94E52" w:rsidP="00B94E52">
            <w:pPr>
              <w:spacing w:line="276" w:lineRule="auto"/>
              <w:contextualSpacing/>
              <w:jc w:val="center"/>
              <w:rPr>
                <w:rFonts w:cs="Arial"/>
                <w:szCs w:val="20"/>
              </w:rPr>
            </w:pPr>
            <w:r w:rsidRPr="00382A62">
              <w:rPr>
                <w:rFonts w:cs="Arial"/>
                <w:szCs w:val="20"/>
              </w:rPr>
              <w:t>63,2%</w:t>
            </w:r>
          </w:p>
        </w:tc>
      </w:tr>
      <w:tr w:rsidR="00B94E52" w:rsidRPr="00382A62" w14:paraId="1102649E" w14:textId="77777777" w:rsidTr="007D00B2">
        <w:trPr>
          <w:trHeight w:val="255"/>
          <w:jc w:val="center"/>
        </w:trPr>
        <w:tc>
          <w:tcPr>
            <w:tcW w:w="3539" w:type="dxa"/>
            <w:shd w:val="clear" w:color="000000" w:fill="FFFFFF"/>
            <w:noWrap/>
            <w:vAlign w:val="bottom"/>
            <w:hideMark/>
          </w:tcPr>
          <w:p w14:paraId="6D942368" w14:textId="37A0BC77" w:rsidR="00B94E52" w:rsidRPr="00382A62" w:rsidRDefault="00B94E52" w:rsidP="00B94E52">
            <w:pPr>
              <w:spacing w:line="276" w:lineRule="auto"/>
              <w:contextualSpacing/>
              <w:rPr>
                <w:rFonts w:cs="Arial"/>
                <w:szCs w:val="20"/>
              </w:rPr>
            </w:pPr>
            <w:r w:rsidRPr="00382A62">
              <w:rPr>
                <w:rFonts w:cs="Arial"/>
                <w:szCs w:val="20"/>
              </w:rPr>
              <w:t>2019</w:t>
            </w:r>
          </w:p>
        </w:tc>
        <w:tc>
          <w:tcPr>
            <w:tcW w:w="1701" w:type="dxa"/>
            <w:shd w:val="clear" w:color="000000" w:fill="FFFFFF"/>
            <w:noWrap/>
            <w:vAlign w:val="center"/>
            <w:hideMark/>
          </w:tcPr>
          <w:p w14:paraId="671F4A0F" w14:textId="747867EA" w:rsidR="00B94E52" w:rsidRPr="00382A62" w:rsidRDefault="00B94E52" w:rsidP="00B94E52">
            <w:pPr>
              <w:spacing w:line="276" w:lineRule="auto"/>
              <w:contextualSpacing/>
              <w:jc w:val="center"/>
              <w:rPr>
                <w:rFonts w:cs="Arial"/>
                <w:szCs w:val="20"/>
              </w:rPr>
            </w:pPr>
            <w:r w:rsidRPr="00382A62">
              <w:rPr>
                <w:rFonts w:cs="Arial"/>
                <w:szCs w:val="20"/>
              </w:rPr>
              <w:t>(¢ 1.243)</w:t>
            </w:r>
          </w:p>
        </w:tc>
        <w:tc>
          <w:tcPr>
            <w:tcW w:w="1418" w:type="dxa"/>
            <w:shd w:val="clear" w:color="000000" w:fill="FFFFFF"/>
            <w:noWrap/>
            <w:vAlign w:val="center"/>
            <w:hideMark/>
          </w:tcPr>
          <w:p w14:paraId="36691643" w14:textId="4C96C185" w:rsidR="00B94E52" w:rsidRPr="00382A62" w:rsidRDefault="00B94E52" w:rsidP="00B94E52">
            <w:pPr>
              <w:spacing w:line="276" w:lineRule="auto"/>
              <w:contextualSpacing/>
              <w:jc w:val="center"/>
              <w:rPr>
                <w:rFonts w:cs="Arial"/>
                <w:szCs w:val="20"/>
              </w:rPr>
            </w:pPr>
            <w:r w:rsidRPr="00382A62">
              <w:rPr>
                <w:rFonts w:cs="Arial"/>
                <w:szCs w:val="20"/>
              </w:rPr>
              <w:t>¢ 37.298</w:t>
            </w:r>
          </w:p>
        </w:tc>
        <w:tc>
          <w:tcPr>
            <w:tcW w:w="1577" w:type="dxa"/>
            <w:shd w:val="clear" w:color="000000" w:fill="FFFFFF"/>
            <w:noWrap/>
            <w:vAlign w:val="center"/>
            <w:hideMark/>
          </w:tcPr>
          <w:p w14:paraId="7887E8FF" w14:textId="430FCF7C" w:rsidR="00B94E52" w:rsidRPr="00382A62" w:rsidRDefault="00B94E52" w:rsidP="00B94E52">
            <w:pPr>
              <w:spacing w:line="276" w:lineRule="auto"/>
              <w:contextualSpacing/>
              <w:jc w:val="center"/>
              <w:rPr>
                <w:rFonts w:cs="Arial"/>
                <w:szCs w:val="20"/>
              </w:rPr>
            </w:pPr>
            <w:r w:rsidRPr="00382A62">
              <w:rPr>
                <w:rFonts w:cs="Arial"/>
                <w:szCs w:val="20"/>
              </w:rPr>
              <w:t>-3.000,6%</w:t>
            </w:r>
          </w:p>
        </w:tc>
      </w:tr>
      <w:tr w:rsidR="00B94E52" w:rsidRPr="00382A62" w14:paraId="49C4A429" w14:textId="77777777" w:rsidTr="00F07FB4">
        <w:trPr>
          <w:trHeight w:val="270"/>
          <w:jc w:val="center"/>
        </w:trPr>
        <w:tc>
          <w:tcPr>
            <w:tcW w:w="3539" w:type="dxa"/>
            <w:shd w:val="clear" w:color="000000" w:fill="FFFFFF"/>
            <w:noWrap/>
            <w:vAlign w:val="bottom"/>
            <w:hideMark/>
          </w:tcPr>
          <w:p w14:paraId="23DABD1E" w14:textId="2C6AFB5F" w:rsidR="00B94E52" w:rsidRPr="00382A62" w:rsidRDefault="00B94E52" w:rsidP="00B94E52">
            <w:pPr>
              <w:spacing w:line="276" w:lineRule="auto"/>
              <w:contextualSpacing/>
              <w:rPr>
                <w:rFonts w:cs="Arial"/>
                <w:szCs w:val="20"/>
              </w:rPr>
            </w:pPr>
            <w:r w:rsidRPr="00382A62">
              <w:rPr>
                <w:rFonts w:cs="Arial"/>
                <w:szCs w:val="20"/>
              </w:rPr>
              <w:t>2020</w:t>
            </w:r>
          </w:p>
        </w:tc>
        <w:tc>
          <w:tcPr>
            <w:tcW w:w="1701" w:type="dxa"/>
            <w:shd w:val="clear" w:color="000000" w:fill="FFFFFF"/>
            <w:noWrap/>
            <w:vAlign w:val="bottom"/>
            <w:hideMark/>
          </w:tcPr>
          <w:p w14:paraId="1995F8D3" w14:textId="3C254938" w:rsidR="00B94E52" w:rsidRPr="00382A62" w:rsidRDefault="00B94E52" w:rsidP="00B94E52">
            <w:pPr>
              <w:spacing w:line="276" w:lineRule="auto"/>
              <w:contextualSpacing/>
              <w:jc w:val="center"/>
              <w:rPr>
                <w:rFonts w:cs="Arial"/>
                <w:szCs w:val="20"/>
              </w:rPr>
            </w:pPr>
            <w:r w:rsidRPr="00382A62">
              <w:rPr>
                <w:rFonts w:cs="Arial"/>
                <w:color w:val="000000"/>
                <w:szCs w:val="20"/>
              </w:rPr>
              <w:t>¢ 10.655</w:t>
            </w:r>
          </w:p>
        </w:tc>
        <w:tc>
          <w:tcPr>
            <w:tcW w:w="1418" w:type="dxa"/>
            <w:shd w:val="clear" w:color="000000" w:fill="FFFFFF"/>
            <w:noWrap/>
            <w:vAlign w:val="bottom"/>
            <w:hideMark/>
          </w:tcPr>
          <w:p w14:paraId="297770B9" w14:textId="4F6FDC27" w:rsidR="00B94E52" w:rsidRPr="00382A62" w:rsidRDefault="00B94E52" w:rsidP="00B94E52">
            <w:pPr>
              <w:spacing w:line="276" w:lineRule="auto"/>
              <w:contextualSpacing/>
              <w:jc w:val="center"/>
              <w:rPr>
                <w:rFonts w:cs="Arial"/>
                <w:szCs w:val="20"/>
              </w:rPr>
            </w:pPr>
            <w:r w:rsidRPr="00382A62">
              <w:rPr>
                <w:rFonts w:cs="Arial"/>
                <w:color w:val="000000"/>
                <w:szCs w:val="20"/>
              </w:rPr>
              <w:t>¢ 13.962</w:t>
            </w:r>
          </w:p>
        </w:tc>
        <w:tc>
          <w:tcPr>
            <w:tcW w:w="1577" w:type="dxa"/>
            <w:shd w:val="clear" w:color="000000" w:fill="FFFFFF"/>
            <w:noWrap/>
            <w:vAlign w:val="bottom"/>
            <w:hideMark/>
          </w:tcPr>
          <w:p w14:paraId="662C3A47" w14:textId="4F5B4635" w:rsidR="00B94E52" w:rsidRPr="00382A62" w:rsidRDefault="00B94E52" w:rsidP="00B94E52">
            <w:pPr>
              <w:spacing w:line="276" w:lineRule="auto"/>
              <w:contextualSpacing/>
              <w:jc w:val="center"/>
              <w:rPr>
                <w:rFonts w:cs="Arial"/>
                <w:szCs w:val="20"/>
              </w:rPr>
            </w:pPr>
            <w:r w:rsidRPr="00382A62">
              <w:rPr>
                <w:rFonts w:cs="Arial"/>
                <w:szCs w:val="20"/>
              </w:rPr>
              <w:t>131,0%</w:t>
            </w:r>
          </w:p>
        </w:tc>
      </w:tr>
      <w:tr w:rsidR="00B94E52" w:rsidRPr="00382A62" w14:paraId="415F8259" w14:textId="77777777" w:rsidTr="00807AD8">
        <w:trPr>
          <w:trHeight w:val="270"/>
          <w:jc w:val="center"/>
        </w:trPr>
        <w:tc>
          <w:tcPr>
            <w:tcW w:w="3539" w:type="dxa"/>
            <w:shd w:val="clear" w:color="000000" w:fill="FFFFFF"/>
            <w:noWrap/>
            <w:vAlign w:val="bottom"/>
          </w:tcPr>
          <w:p w14:paraId="17DAA817" w14:textId="1F3A32B2" w:rsidR="00B94E52" w:rsidRPr="00382A62" w:rsidRDefault="00B94E52" w:rsidP="00B94E52">
            <w:pPr>
              <w:spacing w:line="276" w:lineRule="auto"/>
              <w:contextualSpacing/>
              <w:rPr>
                <w:rFonts w:cs="Arial"/>
                <w:szCs w:val="20"/>
              </w:rPr>
            </w:pPr>
            <w:r w:rsidRPr="00382A62">
              <w:rPr>
                <w:rFonts w:cs="Arial"/>
                <w:szCs w:val="20"/>
              </w:rPr>
              <w:t>2021</w:t>
            </w:r>
          </w:p>
        </w:tc>
        <w:tc>
          <w:tcPr>
            <w:tcW w:w="1701" w:type="dxa"/>
            <w:shd w:val="clear" w:color="000000" w:fill="FFFFFF"/>
            <w:noWrap/>
            <w:vAlign w:val="bottom"/>
          </w:tcPr>
          <w:p w14:paraId="3A6F431D" w14:textId="22DACBFC" w:rsidR="00B94E52" w:rsidRPr="00382A62" w:rsidRDefault="00B94E52" w:rsidP="00B94E52">
            <w:pPr>
              <w:spacing w:line="276" w:lineRule="auto"/>
              <w:contextualSpacing/>
              <w:jc w:val="center"/>
              <w:rPr>
                <w:rFonts w:cs="Arial"/>
                <w:szCs w:val="20"/>
              </w:rPr>
            </w:pPr>
            <w:r w:rsidRPr="00382A62">
              <w:rPr>
                <w:rFonts w:cs="Arial"/>
                <w:color w:val="000000"/>
                <w:szCs w:val="20"/>
              </w:rPr>
              <w:t>¢ 56.973</w:t>
            </w:r>
          </w:p>
        </w:tc>
        <w:tc>
          <w:tcPr>
            <w:tcW w:w="1418" w:type="dxa"/>
            <w:shd w:val="clear" w:color="000000" w:fill="FFFFFF"/>
            <w:noWrap/>
            <w:vAlign w:val="bottom"/>
          </w:tcPr>
          <w:p w14:paraId="596E7152" w14:textId="576456F1" w:rsidR="00B94E52" w:rsidRPr="00382A62" w:rsidRDefault="00B94E52" w:rsidP="00B94E52">
            <w:pPr>
              <w:spacing w:line="276" w:lineRule="auto"/>
              <w:contextualSpacing/>
              <w:jc w:val="center"/>
              <w:rPr>
                <w:rFonts w:cs="Arial"/>
                <w:szCs w:val="20"/>
              </w:rPr>
            </w:pPr>
            <w:r w:rsidRPr="00382A62">
              <w:rPr>
                <w:rFonts w:cs="Arial"/>
                <w:color w:val="000000"/>
                <w:szCs w:val="20"/>
              </w:rPr>
              <w:t>¢ 23.272</w:t>
            </w:r>
          </w:p>
        </w:tc>
        <w:tc>
          <w:tcPr>
            <w:tcW w:w="1577" w:type="dxa"/>
            <w:shd w:val="clear" w:color="000000" w:fill="FFFFFF"/>
            <w:noWrap/>
            <w:vAlign w:val="bottom"/>
          </w:tcPr>
          <w:p w14:paraId="7CFE430F" w14:textId="1DA3DA2E" w:rsidR="00B94E52" w:rsidRPr="00382A62" w:rsidRDefault="00B94E52" w:rsidP="00B94E52">
            <w:pPr>
              <w:spacing w:line="276" w:lineRule="auto"/>
              <w:contextualSpacing/>
              <w:jc w:val="center"/>
              <w:rPr>
                <w:rFonts w:cs="Arial"/>
                <w:szCs w:val="20"/>
              </w:rPr>
            </w:pPr>
            <w:r w:rsidRPr="00382A62">
              <w:rPr>
                <w:rFonts w:cs="Arial"/>
                <w:szCs w:val="20"/>
              </w:rPr>
              <w:t>40,8%</w:t>
            </w:r>
          </w:p>
        </w:tc>
      </w:tr>
      <w:tr w:rsidR="00B94E52" w:rsidRPr="00382A62" w14:paraId="3DBE3DF7" w14:textId="77777777" w:rsidTr="00807AD8">
        <w:trPr>
          <w:trHeight w:val="270"/>
          <w:jc w:val="center"/>
        </w:trPr>
        <w:tc>
          <w:tcPr>
            <w:tcW w:w="3539" w:type="dxa"/>
            <w:shd w:val="clear" w:color="000000" w:fill="FFFFFF"/>
            <w:noWrap/>
            <w:vAlign w:val="bottom"/>
          </w:tcPr>
          <w:p w14:paraId="08185964" w14:textId="16B79F92" w:rsidR="00B94E52" w:rsidRPr="00382A62" w:rsidRDefault="00B94E52" w:rsidP="00B94E52">
            <w:pPr>
              <w:spacing w:line="276" w:lineRule="auto"/>
              <w:contextualSpacing/>
              <w:rPr>
                <w:rFonts w:cs="Arial"/>
                <w:szCs w:val="20"/>
              </w:rPr>
            </w:pPr>
            <w:r w:rsidRPr="00382A62">
              <w:rPr>
                <w:rFonts w:cs="Arial"/>
                <w:szCs w:val="20"/>
              </w:rPr>
              <w:t>2022</w:t>
            </w:r>
          </w:p>
        </w:tc>
        <w:tc>
          <w:tcPr>
            <w:tcW w:w="1701" w:type="dxa"/>
            <w:shd w:val="clear" w:color="000000" w:fill="FFFFFF"/>
            <w:noWrap/>
            <w:vAlign w:val="bottom"/>
          </w:tcPr>
          <w:p w14:paraId="292A08A0" w14:textId="4E52E685" w:rsidR="00B94E52" w:rsidRPr="00382A62" w:rsidRDefault="00B94E52" w:rsidP="00B94E52">
            <w:pPr>
              <w:spacing w:line="276" w:lineRule="auto"/>
              <w:contextualSpacing/>
              <w:jc w:val="center"/>
              <w:rPr>
                <w:rFonts w:cs="Arial"/>
                <w:szCs w:val="20"/>
              </w:rPr>
            </w:pPr>
            <w:r w:rsidRPr="00382A62">
              <w:rPr>
                <w:rFonts w:cs="Arial"/>
                <w:color w:val="000000"/>
                <w:szCs w:val="20"/>
              </w:rPr>
              <w:t>¢ 75.778</w:t>
            </w:r>
          </w:p>
        </w:tc>
        <w:tc>
          <w:tcPr>
            <w:tcW w:w="1418" w:type="dxa"/>
            <w:shd w:val="clear" w:color="000000" w:fill="FFFFFF"/>
            <w:noWrap/>
            <w:vAlign w:val="bottom"/>
          </w:tcPr>
          <w:p w14:paraId="4C99BDE9" w14:textId="20D22B3B" w:rsidR="00B94E52" w:rsidRPr="00382A62" w:rsidRDefault="00B94E52" w:rsidP="00B94E52">
            <w:pPr>
              <w:spacing w:line="276" w:lineRule="auto"/>
              <w:contextualSpacing/>
              <w:jc w:val="center"/>
              <w:rPr>
                <w:rFonts w:cs="Arial"/>
                <w:szCs w:val="20"/>
              </w:rPr>
            </w:pPr>
            <w:r w:rsidRPr="00382A62">
              <w:rPr>
                <w:rFonts w:cs="Arial"/>
                <w:color w:val="000000"/>
                <w:szCs w:val="20"/>
              </w:rPr>
              <w:t>¢ 35.498</w:t>
            </w:r>
          </w:p>
        </w:tc>
        <w:tc>
          <w:tcPr>
            <w:tcW w:w="1577" w:type="dxa"/>
            <w:shd w:val="clear" w:color="000000" w:fill="FFFFFF"/>
            <w:noWrap/>
            <w:vAlign w:val="bottom"/>
          </w:tcPr>
          <w:p w14:paraId="4117810A" w14:textId="2B3B5F0C" w:rsidR="00B94E52" w:rsidRPr="00382A62" w:rsidRDefault="00B94E52" w:rsidP="00B94E52">
            <w:pPr>
              <w:spacing w:line="276" w:lineRule="auto"/>
              <w:contextualSpacing/>
              <w:jc w:val="center"/>
              <w:rPr>
                <w:rFonts w:cs="Arial"/>
                <w:szCs w:val="20"/>
              </w:rPr>
            </w:pPr>
            <w:r w:rsidRPr="00382A62">
              <w:rPr>
                <w:rFonts w:cs="Arial"/>
                <w:szCs w:val="20"/>
              </w:rPr>
              <w:t>46,8%</w:t>
            </w:r>
          </w:p>
        </w:tc>
      </w:tr>
      <w:tr w:rsidR="007605E6" w:rsidRPr="00382A62" w14:paraId="3DA561AB" w14:textId="77777777" w:rsidTr="007D00B2">
        <w:trPr>
          <w:trHeight w:val="270"/>
          <w:jc w:val="center"/>
        </w:trPr>
        <w:tc>
          <w:tcPr>
            <w:tcW w:w="3539" w:type="dxa"/>
            <w:shd w:val="clear" w:color="000000" w:fill="FFFFFF"/>
            <w:noWrap/>
            <w:vAlign w:val="bottom"/>
          </w:tcPr>
          <w:p w14:paraId="465C04B2" w14:textId="1D7173C4" w:rsidR="007605E6" w:rsidRPr="00382A62" w:rsidRDefault="007605E6" w:rsidP="007D00B2">
            <w:pPr>
              <w:spacing w:line="276" w:lineRule="auto"/>
              <w:contextualSpacing/>
              <w:rPr>
                <w:rFonts w:cs="Arial"/>
                <w:szCs w:val="20"/>
              </w:rPr>
            </w:pPr>
            <w:r w:rsidRPr="00382A62">
              <w:rPr>
                <w:rFonts w:cs="Arial"/>
                <w:szCs w:val="20"/>
              </w:rPr>
              <w:t>202</w:t>
            </w:r>
            <w:r w:rsidR="00B94E52" w:rsidRPr="00382A62">
              <w:rPr>
                <w:rFonts w:cs="Arial"/>
                <w:szCs w:val="20"/>
              </w:rPr>
              <w:t>3</w:t>
            </w:r>
          </w:p>
        </w:tc>
        <w:tc>
          <w:tcPr>
            <w:tcW w:w="1701" w:type="dxa"/>
            <w:shd w:val="clear" w:color="000000" w:fill="FFFFFF"/>
            <w:noWrap/>
            <w:vAlign w:val="bottom"/>
          </w:tcPr>
          <w:p w14:paraId="532D03F1" w14:textId="1BC0FA8B" w:rsidR="007605E6" w:rsidRPr="00382A62" w:rsidRDefault="00807AD8" w:rsidP="007D00B2">
            <w:pPr>
              <w:spacing w:line="276" w:lineRule="auto"/>
              <w:contextualSpacing/>
              <w:jc w:val="center"/>
              <w:rPr>
                <w:rFonts w:cs="Arial"/>
                <w:color w:val="000000"/>
                <w:szCs w:val="20"/>
              </w:rPr>
            </w:pPr>
            <w:r w:rsidRPr="00382A62">
              <w:rPr>
                <w:rFonts w:cs="Arial"/>
                <w:color w:val="000000"/>
                <w:szCs w:val="20"/>
              </w:rPr>
              <w:t>¢ 77,619</w:t>
            </w:r>
          </w:p>
        </w:tc>
        <w:tc>
          <w:tcPr>
            <w:tcW w:w="1418" w:type="dxa"/>
            <w:shd w:val="clear" w:color="000000" w:fill="FFFFFF"/>
            <w:noWrap/>
            <w:vAlign w:val="bottom"/>
          </w:tcPr>
          <w:p w14:paraId="00FD283F" w14:textId="633015B9" w:rsidR="007605E6" w:rsidRPr="00382A62" w:rsidRDefault="005F6F4C" w:rsidP="007D00B2">
            <w:pPr>
              <w:spacing w:line="276" w:lineRule="auto"/>
              <w:contextualSpacing/>
              <w:jc w:val="center"/>
              <w:rPr>
                <w:rFonts w:cs="Arial"/>
                <w:color w:val="000000"/>
                <w:szCs w:val="20"/>
              </w:rPr>
            </w:pPr>
            <w:r w:rsidRPr="00382A62">
              <w:rPr>
                <w:rFonts w:cs="Arial"/>
                <w:color w:val="000000"/>
                <w:szCs w:val="20"/>
              </w:rPr>
              <w:t>¢ 3</w:t>
            </w:r>
            <w:r w:rsidR="004C04FE" w:rsidRPr="00382A62">
              <w:rPr>
                <w:rFonts w:cs="Arial"/>
                <w:color w:val="000000"/>
                <w:szCs w:val="20"/>
              </w:rPr>
              <w:t>9.908</w:t>
            </w:r>
          </w:p>
        </w:tc>
        <w:tc>
          <w:tcPr>
            <w:tcW w:w="1577" w:type="dxa"/>
            <w:shd w:val="clear" w:color="000000" w:fill="FFFFFF"/>
            <w:noWrap/>
            <w:vAlign w:val="bottom"/>
          </w:tcPr>
          <w:p w14:paraId="0AFD9763" w14:textId="2472E3DF" w:rsidR="007605E6" w:rsidRPr="00382A62" w:rsidRDefault="00E65949" w:rsidP="007D00B2">
            <w:pPr>
              <w:spacing w:line="276" w:lineRule="auto"/>
              <w:contextualSpacing/>
              <w:jc w:val="center"/>
              <w:rPr>
                <w:rFonts w:cs="Arial"/>
                <w:color w:val="000000"/>
                <w:szCs w:val="20"/>
              </w:rPr>
            </w:pPr>
            <w:r w:rsidRPr="00382A62">
              <w:rPr>
                <w:rFonts w:cs="Arial"/>
                <w:color w:val="000000"/>
                <w:szCs w:val="20"/>
              </w:rPr>
              <w:t>51.4%</w:t>
            </w:r>
          </w:p>
        </w:tc>
      </w:tr>
    </w:tbl>
    <w:p w14:paraId="59A13299" w14:textId="77777777" w:rsidR="00A74D3F" w:rsidRDefault="00A74D3F" w:rsidP="007605E6">
      <w:pPr>
        <w:spacing w:line="240" w:lineRule="auto"/>
        <w:contextualSpacing/>
        <w:rPr>
          <w:rFonts w:cs="Arial"/>
          <w:color w:val="7F7F7F" w:themeColor="text1" w:themeTint="80"/>
          <w:szCs w:val="20"/>
        </w:rPr>
      </w:pPr>
    </w:p>
    <w:p w14:paraId="0CA0C503" w14:textId="2A1DF087" w:rsidR="007605E6" w:rsidRPr="00AF797E" w:rsidRDefault="007605E6" w:rsidP="007605E6">
      <w:pPr>
        <w:spacing w:line="240" w:lineRule="auto"/>
        <w:contextualSpacing/>
        <w:rPr>
          <w:rFonts w:cs="Arial"/>
          <w:color w:val="7F7F7F" w:themeColor="text1" w:themeTint="80"/>
          <w:sz w:val="16"/>
          <w:szCs w:val="16"/>
        </w:rPr>
      </w:pPr>
      <w:r w:rsidRPr="00382A62">
        <w:rPr>
          <w:rFonts w:cs="Arial"/>
          <w:color w:val="7F7F7F" w:themeColor="text1" w:themeTint="80"/>
          <w:szCs w:val="20"/>
        </w:rPr>
        <w:t>(1</w:t>
      </w:r>
      <w:r w:rsidRPr="00AF797E">
        <w:rPr>
          <w:rFonts w:cs="Arial"/>
          <w:color w:val="7F7F7F" w:themeColor="text1" w:themeTint="80"/>
          <w:sz w:val="16"/>
          <w:szCs w:val="16"/>
        </w:rPr>
        <w:t>) Utilidad atribuible a la controladora.</w:t>
      </w:r>
    </w:p>
    <w:p w14:paraId="0EB2C4D5" w14:textId="22F12DA0" w:rsidR="007605E6" w:rsidRPr="00AF797E" w:rsidRDefault="007605E6" w:rsidP="007605E6">
      <w:pPr>
        <w:spacing w:line="240" w:lineRule="auto"/>
        <w:contextualSpacing/>
        <w:rPr>
          <w:rFonts w:cs="Arial"/>
          <w:color w:val="7F7F7F" w:themeColor="text1" w:themeTint="80"/>
          <w:sz w:val="16"/>
          <w:szCs w:val="16"/>
        </w:rPr>
      </w:pPr>
      <w:r w:rsidRPr="00AF797E">
        <w:rPr>
          <w:rFonts w:cs="Arial"/>
          <w:color w:val="7F7F7F" w:themeColor="text1" w:themeTint="80"/>
          <w:sz w:val="16"/>
          <w:szCs w:val="16"/>
        </w:rPr>
        <w:t>(2) Al 3</w:t>
      </w:r>
      <w:r w:rsidR="00BB0935">
        <w:rPr>
          <w:rFonts w:cs="Arial"/>
          <w:color w:val="7F7F7F" w:themeColor="text1" w:themeTint="80"/>
          <w:sz w:val="16"/>
          <w:szCs w:val="16"/>
        </w:rPr>
        <w:t>0</w:t>
      </w:r>
      <w:r w:rsidRPr="00AF797E">
        <w:rPr>
          <w:rFonts w:cs="Arial"/>
          <w:color w:val="7F7F7F" w:themeColor="text1" w:themeTint="80"/>
          <w:sz w:val="16"/>
          <w:szCs w:val="16"/>
        </w:rPr>
        <w:t xml:space="preserve"> de </w:t>
      </w:r>
      <w:r w:rsidR="00BB0935">
        <w:rPr>
          <w:rFonts w:cs="Arial"/>
          <w:color w:val="7F7F7F" w:themeColor="text1" w:themeTint="80"/>
          <w:sz w:val="16"/>
          <w:szCs w:val="16"/>
        </w:rPr>
        <w:t xml:space="preserve">setiembre </w:t>
      </w:r>
      <w:r w:rsidRPr="00AF797E">
        <w:rPr>
          <w:rFonts w:cs="Arial"/>
          <w:color w:val="7F7F7F" w:themeColor="text1" w:themeTint="80"/>
          <w:sz w:val="16"/>
          <w:szCs w:val="16"/>
        </w:rPr>
        <w:t>del año respectivo</w:t>
      </w:r>
    </w:p>
    <w:p w14:paraId="7B35D074" w14:textId="77777777" w:rsidR="007605E6" w:rsidRPr="00382A62" w:rsidRDefault="007605E6" w:rsidP="007605E6">
      <w:pPr>
        <w:spacing w:line="240" w:lineRule="auto"/>
        <w:rPr>
          <w:rFonts w:cs="Arial"/>
          <w:color w:val="7F7F7F" w:themeColor="text1" w:themeTint="80"/>
          <w:szCs w:val="20"/>
        </w:rPr>
      </w:pPr>
    </w:p>
    <w:p w14:paraId="5A8AF15E" w14:textId="66973AFD" w:rsidR="007605E6" w:rsidRPr="00382A62" w:rsidRDefault="007605E6" w:rsidP="007605E6">
      <w:pPr>
        <w:rPr>
          <w:rFonts w:cs="Arial"/>
          <w:szCs w:val="20"/>
        </w:rPr>
      </w:pPr>
      <w:r w:rsidRPr="00382A62">
        <w:rPr>
          <w:rFonts w:cs="Arial"/>
          <w:szCs w:val="20"/>
        </w:rPr>
        <w:t>La Asamblea General de Accionistas de FIFCO tiene la posibilidad de decretar los dividendos que se pagarán en el período. Asimismo, delega la decisión a discreción de la Junta Directiva para que, de acuerdo con el flujo de efectivo de la Compañía, proceda al pago correspondiente de forma trimestral, pudiendo aumentar o disminuir el dividendo por acción. La declaratoria de los dividendos está sujeta a la existencia de utilidades realizadas y líquidas, resultantes del balance aprobado por la Asamblea de Accionistas, como lo dispone el artículo 27 del Código de Comercio de Costa Rica.</w:t>
      </w:r>
    </w:p>
    <w:p w14:paraId="1F5A8D79" w14:textId="77777777" w:rsidR="007605E6" w:rsidRPr="00382A62" w:rsidRDefault="007605E6" w:rsidP="007605E6">
      <w:pPr>
        <w:pStyle w:val="Prrafodelista"/>
        <w:numPr>
          <w:ilvl w:val="0"/>
          <w:numId w:val="23"/>
        </w:numPr>
        <w:rPr>
          <w:rFonts w:cs="Arial"/>
          <w:b/>
          <w:bCs/>
          <w:szCs w:val="20"/>
        </w:rPr>
      </w:pPr>
      <w:r w:rsidRPr="00382A62">
        <w:rPr>
          <w:rFonts w:cs="Arial"/>
          <w:b/>
          <w:bCs/>
          <w:szCs w:val="20"/>
        </w:rPr>
        <w:t>Composición del Capital Social</w:t>
      </w:r>
    </w:p>
    <w:p w14:paraId="6FF22B21" w14:textId="77777777" w:rsidR="007605E6" w:rsidRPr="00382A62" w:rsidRDefault="007605E6" w:rsidP="007605E6">
      <w:pPr>
        <w:rPr>
          <w:rFonts w:cs="Arial"/>
          <w:szCs w:val="20"/>
        </w:rPr>
      </w:pPr>
      <w:r w:rsidRPr="00382A62">
        <w:rPr>
          <w:rFonts w:cs="Arial"/>
          <w:szCs w:val="20"/>
        </w:rPr>
        <w:t>El capital social de FIFCO, se compone de la siguiente manera:</w:t>
      </w:r>
    </w:p>
    <w:p w14:paraId="2FA41020" w14:textId="77777777" w:rsidR="004E3CAE" w:rsidRDefault="004E3CAE" w:rsidP="00ED7B80">
      <w:pPr>
        <w:rPr>
          <w:rFonts w:cs="Arial"/>
          <w:szCs w:val="20"/>
        </w:rPr>
      </w:pPr>
      <w:r w:rsidRPr="004E3CAE">
        <w:rPr>
          <w:rFonts w:cs="Arial"/>
          <w:szCs w:val="20"/>
        </w:rPr>
        <w:t>La Asamblea General Ordinaria de Accionistas realizada el 19 de marzo del 2024, aprobó, la reducción del Capital Social de Florida Ice and Farm Company, S.A., de ¢87.706.439.000 a ¢ 86,216,675,100. La reducción corresponde a 14,897,639 acciones comunes y nominativas de ¢100,00 cada una, que al 31 de diciembre del 2023 estaban mantenidas en Tesorería.</w:t>
      </w:r>
    </w:p>
    <w:p w14:paraId="4EFA84A1" w14:textId="486A4349" w:rsidR="0010134F" w:rsidRDefault="00ED7B80" w:rsidP="00ED7B80">
      <w:pPr>
        <w:rPr>
          <w:rFonts w:cs="Arial"/>
          <w:szCs w:val="20"/>
        </w:rPr>
      </w:pPr>
      <w:r w:rsidRPr="00ED7B80">
        <w:rPr>
          <w:rFonts w:cs="Arial"/>
          <w:szCs w:val="20"/>
        </w:rPr>
        <w:t>En Asamblea General Ordinaria y Extraordinaria de Accionistas realizada el 19 de marzo del 2024, se aprobó la disminución del Capital Social de Florida Ice and Farm Company, S.A., de ¢87,706,439,000.00 a ¢86,216,675,100,00. La disminución corresponde a 14,897,639 acciones comunes y nominativas de ¢100,00 cada una, que se encontraban en Tesorería al 31 de diciembre del 2023</w:t>
      </w:r>
      <w:r w:rsidR="0010134F" w:rsidRPr="00382A62">
        <w:rPr>
          <w:rFonts w:cs="Arial"/>
          <w:szCs w:val="20"/>
        </w:rPr>
        <w:t>.</w:t>
      </w:r>
    </w:p>
    <w:p w14:paraId="4C86C9D3" w14:textId="77777777" w:rsidR="00AF797E" w:rsidRDefault="00AF797E" w:rsidP="007605E6">
      <w:pPr>
        <w:pStyle w:val="Descripcin"/>
        <w:spacing w:line="276" w:lineRule="auto"/>
        <w:contextualSpacing/>
        <w:rPr>
          <w:rFonts w:cs="Arial"/>
          <w:szCs w:val="20"/>
        </w:rPr>
      </w:pPr>
    </w:p>
    <w:p w14:paraId="472E1A40" w14:textId="77777777" w:rsidR="00ED7B80" w:rsidRDefault="00ED7B80" w:rsidP="00ED7B80"/>
    <w:p w14:paraId="178A503D" w14:textId="77777777" w:rsidR="00ED7B80" w:rsidRPr="00ED7B80" w:rsidRDefault="00ED7B80" w:rsidP="00ED7B80"/>
    <w:p w14:paraId="265DF945" w14:textId="77777777" w:rsidR="00AF797E" w:rsidRDefault="00AF797E" w:rsidP="007605E6">
      <w:pPr>
        <w:pStyle w:val="Descripcin"/>
        <w:spacing w:line="276" w:lineRule="auto"/>
        <w:contextualSpacing/>
        <w:rPr>
          <w:rFonts w:cs="Arial"/>
          <w:szCs w:val="20"/>
        </w:rPr>
      </w:pPr>
    </w:p>
    <w:p w14:paraId="5AB34139" w14:textId="69F991DF" w:rsidR="007605E6" w:rsidRPr="00382A62" w:rsidRDefault="007605E6" w:rsidP="007605E6">
      <w:pPr>
        <w:pStyle w:val="Descripcin"/>
        <w:spacing w:line="276" w:lineRule="auto"/>
        <w:contextualSpacing/>
        <w:rPr>
          <w:rFonts w:cs="Arial"/>
          <w:szCs w:val="20"/>
        </w:rPr>
      </w:pPr>
      <w:bookmarkStart w:id="100" w:name="_Toc169624724"/>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28</w:t>
      </w:r>
      <w:r w:rsidR="00423C23" w:rsidRPr="00382A62">
        <w:rPr>
          <w:rFonts w:cs="Arial"/>
          <w:noProof/>
          <w:szCs w:val="20"/>
        </w:rPr>
        <w:fldChar w:fldCharType="end"/>
      </w:r>
      <w:r w:rsidRPr="00382A62">
        <w:rPr>
          <w:rFonts w:cs="Arial"/>
          <w:szCs w:val="20"/>
        </w:rPr>
        <w:t xml:space="preserve"> - Historia del Capital Social por los últimos 3 años</w:t>
      </w:r>
      <w:bookmarkEnd w:id="100"/>
      <w:r w:rsidRPr="00382A62">
        <w:rPr>
          <w:rFonts w:cs="Arial"/>
          <w:szCs w:val="20"/>
        </w:rPr>
        <w:t xml:space="preserve"> </w:t>
      </w:r>
    </w:p>
    <w:p w14:paraId="29DA194D" w14:textId="77777777" w:rsidR="007605E6" w:rsidRPr="00382A62" w:rsidRDefault="007605E6" w:rsidP="007605E6">
      <w:pPr>
        <w:pStyle w:val="Descripcin"/>
        <w:spacing w:line="276" w:lineRule="auto"/>
        <w:contextualSpacing/>
        <w:rPr>
          <w:rFonts w:cs="Arial"/>
          <w:szCs w:val="20"/>
        </w:rPr>
      </w:pPr>
      <w:r w:rsidRPr="00382A62">
        <w:rPr>
          <w:rFonts w:cs="Arial"/>
          <w:szCs w:val="20"/>
        </w:rPr>
        <w:t xml:space="preserve">(En miles de colones) </w:t>
      </w:r>
    </w:p>
    <w:tbl>
      <w:tblPr>
        <w:tblW w:w="7492" w:type="dxa"/>
        <w:jc w:val="center"/>
        <w:tblCellMar>
          <w:left w:w="70" w:type="dxa"/>
          <w:right w:w="70" w:type="dxa"/>
        </w:tblCellMar>
        <w:tblLook w:val="04A0" w:firstRow="1" w:lastRow="0" w:firstColumn="1" w:lastColumn="0" w:noHBand="0" w:noVBand="1"/>
      </w:tblPr>
      <w:tblGrid>
        <w:gridCol w:w="1330"/>
        <w:gridCol w:w="1460"/>
        <w:gridCol w:w="1460"/>
        <w:gridCol w:w="1460"/>
        <w:gridCol w:w="1782"/>
      </w:tblGrid>
      <w:tr w:rsidR="007605E6" w:rsidRPr="00382A62" w14:paraId="29CCDFE2" w14:textId="77777777" w:rsidTr="00E16154">
        <w:trPr>
          <w:trHeight w:val="522"/>
          <w:jc w:val="center"/>
        </w:trPr>
        <w:tc>
          <w:tcPr>
            <w:tcW w:w="1330" w:type="dxa"/>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F096089"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Fecha</w:t>
            </w:r>
          </w:p>
        </w:tc>
        <w:tc>
          <w:tcPr>
            <w:tcW w:w="1460" w:type="dxa"/>
            <w:tcBorders>
              <w:top w:val="single" w:sz="4" w:space="0" w:color="A6A6A6"/>
              <w:left w:val="nil"/>
              <w:bottom w:val="single" w:sz="4" w:space="0" w:color="A6A6A6"/>
              <w:right w:val="single" w:sz="4" w:space="0" w:color="A6A6A6"/>
            </w:tcBorders>
            <w:shd w:val="clear" w:color="000000" w:fill="F2F2F2"/>
            <w:noWrap/>
            <w:vAlign w:val="center"/>
            <w:hideMark/>
          </w:tcPr>
          <w:p w14:paraId="15C93F24"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Capital Anterior</w:t>
            </w:r>
          </w:p>
        </w:tc>
        <w:tc>
          <w:tcPr>
            <w:tcW w:w="1460" w:type="dxa"/>
            <w:tcBorders>
              <w:top w:val="single" w:sz="4" w:space="0" w:color="A6A6A6"/>
              <w:left w:val="nil"/>
              <w:bottom w:val="single" w:sz="4" w:space="0" w:color="A6A6A6"/>
              <w:right w:val="single" w:sz="4" w:space="0" w:color="A6A6A6"/>
            </w:tcBorders>
            <w:shd w:val="clear" w:color="000000" w:fill="F2F2F2"/>
            <w:noWrap/>
            <w:vAlign w:val="center"/>
            <w:hideMark/>
          </w:tcPr>
          <w:p w14:paraId="6487F39C"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Aumentos</w:t>
            </w:r>
          </w:p>
        </w:tc>
        <w:tc>
          <w:tcPr>
            <w:tcW w:w="1460" w:type="dxa"/>
            <w:tcBorders>
              <w:top w:val="single" w:sz="4" w:space="0" w:color="A6A6A6"/>
              <w:left w:val="nil"/>
              <w:bottom w:val="single" w:sz="4" w:space="0" w:color="A6A6A6"/>
              <w:right w:val="single" w:sz="4" w:space="0" w:color="A6A6A6"/>
            </w:tcBorders>
            <w:shd w:val="clear" w:color="000000" w:fill="F2F2F2"/>
            <w:noWrap/>
            <w:vAlign w:val="center"/>
            <w:hideMark/>
          </w:tcPr>
          <w:p w14:paraId="4E9995F7"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Disminución (1)</w:t>
            </w:r>
          </w:p>
        </w:tc>
        <w:tc>
          <w:tcPr>
            <w:tcW w:w="1782" w:type="dxa"/>
            <w:tcBorders>
              <w:top w:val="single" w:sz="4" w:space="0" w:color="A6A6A6"/>
              <w:left w:val="nil"/>
              <w:bottom w:val="single" w:sz="4" w:space="0" w:color="A6A6A6"/>
              <w:right w:val="single" w:sz="4" w:space="0" w:color="A6A6A6"/>
            </w:tcBorders>
            <w:shd w:val="clear" w:color="000000" w:fill="F2F2F2"/>
            <w:noWrap/>
            <w:vAlign w:val="center"/>
            <w:hideMark/>
          </w:tcPr>
          <w:p w14:paraId="751B0CF4"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Nuevo Capital</w:t>
            </w:r>
          </w:p>
        </w:tc>
      </w:tr>
      <w:tr w:rsidR="00ED7B80" w:rsidRPr="00382A62" w14:paraId="6D0D6149" w14:textId="77777777" w:rsidTr="002A34C4">
        <w:trPr>
          <w:trHeight w:val="276"/>
          <w:jc w:val="center"/>
        </w:trPr>
        <w:tc>
          <w:tcPr>
            <w:tcW w:w="1330" w:type="dxa"/>
            <w:tcBorders>
              <w:top w:val="single" w:sz="4" w:space="0" w:color="A6A6A6"/>
              <w:left w:val="single" w:sz="4" w:space="0" w:color="A6A6A6"/>
              <w:bottom w:val="single" w:sz="4" w:space="0" w:color="A6A6A6"/>
              <w:right w:val="single" w:sz="4" w:space="0" w:color="A6A6A6"/>
            </w:tcBorders>
            <w:shd w:val="clear" w:color="auto" w:fill="auto"/>
            <w:noWrap/>
            <w:vAlign w:val="bottom"/>
          </w:tcPr>
          <w:p w14:paraId="233F1D93" w14:textId="58EE82E0" w:rsidR="00ED7B80" w:rsidRPr="0045002B" w:rsidRDefault="00ED7B80" w:rsidP="00ED7B80">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14/3/2022</w:t>
            </w:r>
          </w:p>
        </w:tc>
        <w:tc>
          <w:tcPr>
            <w:tcW w:w="1460" w:type="dxa"/>
            <w:tcBorders>
              <w:top w:val="single" w:sz="4" w:space="0" w:color="A6A6A6"/>
              <w:left w:val="nil"/>
              <w:bottom w:val="single" w:sz="4" w:space="0" w:color="A6A6A6"/>
              <w:right w:val="single" w:sz="4" w:space="0" w:color="A6A6A6"/>
            </w:tcBorders>
            <w:shd w:val="clear" w:color="auto" w:fill="auto"/>
            <w:noWrap/>
            <w:vAlign w:val="bottom"/>
          </w:tcPr>
          <w:p w14:paraId="475E4B5F" w14:textId="49425BEC" w:rsidR="00ED7B80" w:rsidRPr="0045002B" w:rsidRDefault="00ED7B80" w:rsidP="00ED7B8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89.804.665</w:t>
            </w:r>
          </w:p>
        </w:tc>
        <w:tc>
          <w:tcPr>
            <w:tcW w:w="1460" w:type="dxa"/>
            <w:tcBorders>
              <w:top w:val="single" w:sz="4" w:space="0" w:color="A6A6A6"/>
              <w:left w:val="nil"/>
              <w:bottom w:val="single" w:sz="4" w:space="0" w:color="A6A6A6"/>
              <w:right w:val="single" w:sz="4" w:space="0" w:color="A6A6A6"/>
            </w:tcBorders>
            <w:shd w:val="clear" w:color="auto" w:fill="auto"/>
            <w:noWrap/>
            <w:vAlign w:val="bottom"/>
          </w:tcPr>
          <w:p w14:paraId="077E537B" w14:textId="0DDC6743" w:rsidR="00ED7B80" w:rsidRPr="0045002B" w:rsidRDefault="00ED7B80" w:rsidP="00ED7B8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w:t>
            </w:r>
          </w:p>
        </w:tc>
        <w:tc>
          <w:tcPr>
            <w:tcW w:w="1460" w:type="dxa"/>
            <w:tcBorders>
              <w:top w:val="single" w:sz="4" w:space="0" w:color="A6A6A6"/>
              <w:left w:val="nil"/>
              <w:bottom w:val="single" w:sz="4" w:space="0" w:color="A6A6A6"/>
              <w:right w:val="single" w:sz="4" w:space="0" w:color="A6A6A6"/>
            </w:tcBorders>
            <w:shd w:val="clear" w:color="auto" w:fill="auto"/>
            <w:noWrap/>
            <w:vAlign w:val="bottom"/>
          </w:tcPr>
          <w:p w14:paraId="1455529A" w14:textId="48D0865A" w:rsidR="00ED7B80" w:rsidRPr="0045002B" w:rsidRDefault="00ED7B80" w:rsidP="00ED7B8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355.262</w:t>
            </w:r>
          </w:p>
        </w:tc>
        <w:tc>
          <w:tcPr>
            <w:tcW w:w="1782" w:type="dxa"/>
            <w:tcBorders>
              <w:top w:val="single" w:sz="4" w:space="0" w:color="A6A6A6"/>
              <w:left w:val="nil"/>
              <w:bottom w:val="single" w:sz="4" w:space="0" w:color="A6A6A6"/>
              <w:right w:val="single" w:sz="4" w:space="0" w:color="A6A6A6"/>
            </w:tcBorders>
            <w:shd w:val="clear" w:color="auto" w:fill="auto"/>
            <w:noWrap/>
            <w:vAlign w:val="bottom"/>
          </w:tcPr>
          <w:p w14:paraId="284EAB46" w14:textId="75688A13" w:rsidR="00ED7B80" w:rsidRPr="0045002B" w:rsidRDefault="00ED7B80" w:rsidP="00ED7B8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89.449.403</w:t>
            </w:r>
          </w:p>
        </w:tc>
      </w:tr>
      <w:tr w:rsidR="00ED7B80" w:rsidRPr="00382A62" w14:paraId="093677D9" w14:textId="77777777" w:rsidTr="002E383C">
        <w:trPr>
          <w:trHeight w:val="276"/>
          <w:jc w:val="center"/>
        </w:trPr>
        <w:tc>
          <w:tcPr>
            <w:tcW w:w="1330" w:type="dxa"/>
            <w:tcBorders>
              <w:top w:val="nil"/>
              <w:left w:val="single" w:sz="4" w:space="0" w:color="A6A6A6"/>
              <w:bottom w:val="single" w:sz="4" w:space="0" w:color="A6A6A6"/>
              <w:right w:val="single" w:sz="4" w:space="0" w:color="A6A6A6"/>
            </w:tcBorders>
            <w:shd w:val="clear" w:color="auto" w:fill="auto"/>
            <w:noWrap/>
            <w:vAlign w:val="bottom"/>
            <w:hideMark/>
          </w:tcPr>
          <w:p w14:paraId="4567E7BD" w14:textId="1E1E968E" w:rsidR="00ED7B80" w:rsidRPr="00382A62" w:rsidRDefault="00ED7B80" w:rsidP="00ED7B80">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 xml:space="preserve">15/3/2023 </w:t>
            </w:r>
          </w:p>
        </w:tc>
        <w:tc>
          <w:tcPr>
            <w:tcW w:w="1460" w:type="dxa"/>
            <w:tcBorders>
              <w:top w:val="nil"/>
              <w:left w:val="nil"/>
              <w:bottom w:val="single" w:sz="4" w:space="0" w:color="A6A6A6"/>
              <w:right w:val="single" w:sz="4" w:space="0" w:color="A6A6A6"/>
            </w:tcBorders>
            <w:shd w:val="clear" w:color="auto" w:fill="auto"/>
            <w:noWrap/>
            <w:vAlign w:val="bottom"/>
            <w:hideMark/>
          </w:tcPr>
          <w:p w14:paraId="3E32128E" w14:textId="26798BD7" w:rsidR="00ED7B80" w:rsidRPr="00382A62" w:rsidRDefault="00ED7B80" w:rsidP="00ED7B8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89.449.403</w:t>
            </w:r>
          </w:p>
        </w:tc>
        <w:tc>
          <w:tcPr>
            <w:tcW w:w="1460" w:type="dxa"/>
            <w:tcBorders>
              <w:top w:val="nil"/>
              <w:left w:val="nil"/>
              <w:bottom w:val="single" w:sz="4" w:space="0" w:color="A6A6A6"/>
              <w:right w:val="single" w:sz="4" w:space="0" w:color="A6A6A6"/>
            </w:tcBorders>
            <w:shd w:val="clear" w:color="auto" w:fill="auto"/>
            <w:noWrap/>
            <w:vAlign w:val="bottom"/>
            <w:hideMark/>
          </w:tcPr>
          <w:p w14:paraId="21FEA3B6" w14:textId="4DFBA9ED" w:rsidR="00ED7B80" w:rsidRPr="00382A62" w:rsidRDefault="00ED7B80" w:rsidP="00ED7B80">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w:t>
            </w:r>
          </w:p>
        </w:tc>
        <w:tc>
          <w:tcPr>
            <w:tcW w:w="1460" w:type="dxa"/>
            <w:tcBorders>
              <w:top w:val="nil"/>
              <w:left w:val="nil"/>
              <w:bottom w:val="single" w:sz="4" w:space="0" w:color="A6A6A6"/>
              <w:right w:val="single" w:sz="4" w:space="0" w:color="A6A6A6"/>
            </w:tcBorders>
            <w:shd w:val="clear" w:color="auto" w:fill="auto"/>
            <w:noWrap/>
            <w:vAlign w:val="bottom"/>
            <w:hideMark/>
          </w:tcPr>
          <w:p w14:paraId="40DB3397" w14:textId="47ED1759" w:rsidR="00ED7B80" w:rsidRPr="00382A62" w:rsidRDefault="00ED7B80" w:rsidP="00ED7B8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1.742.964</w:t>
            </w:r>
          </w:p>
        </w:tc>
        <w:tc>
          <w:tcPr>
            <w:tcW w:w="1782" w:type="dxa"/>
            <w:tcBorders>
              <w:top w:val="nil"/>
              <w:left w:val="nil"/>
              <w:bottom w:val="single" w:sz="4" w:space="0" w:color="A6A6A6"/>
              <w:right w:val="single" w:sz="4" w:space="0" w:color="A6A6A6"/>
            </w:tcBorders>
            <w:shd w:val="clear" w:color="auto" w:fill="auto"/>
            <w:noWrap/>
            <w:vAlign w:val="bottom"/>
            <w:hideMark/>
          </w:tcPr>
          <w:p w14:paraId="345703B8" w14:textId="054E6C56" w:rsidR="00ED7B80" w:rsidRPr="00382A62" w:rsidRDefault="00ED7B80" w:rsidP="00ED7B8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87.706.439</w:t>
            </w:r>
          </w:p>
        </w:tc>
      </w:tr>
      <w:tr w:rsidR="00ED7B80" w:rsidRPr="00382A62" w14:paraId="20CD4FB7" w14:textId="77777777" w:rsidTr="002E383C">
        <w:trPr>
          <w:trHeight w:val="276"/>
          <w:jc w:val="center"/>
        </w:trPr>
        <w:tc>
          <w:tcPr>
            <w:tcW w:w="1330" w:type="dxa"/>
            <w:tcBorders>
              <w:top w:val="nil"/>
              <w:left w:val="single" w:sz="4" w:space="0" w:color="A6A6A6"/>
              <w:bottom w:val="single" w:sz="4" w:space="0" w:color="A6A6A6"/>
              <w:right w:val="single" w:sz="4" w:space="0" w:color="A6A6A6"/>
            </w:tcBorders>
            <w:shd w:val="clear" w:color="auto" w:fill="auto"/>
            <w:noWrap/>
            <w:vAlign w:val="bottom"/>
            <w:hideMark/>
          </w:tcPr>
          <w:p w14:paraId="09A076AF" w14:textId="66B2CFBC" w:rsidR="00ED7B80" w:rsidRPr="00382A62" w:rsidRDefault="00ED7B80" w:rsidP="00ED7B80">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1</w:t>
            </w:r>
            <w:r>
              <w:rPr>
                <w:rFonts w:eastAsia="Times New Roman" w:cs="Arial"/>
                <w:color w:val="000000"/>
                <w:szCs w:val="20"/>
                <w:lang w:eastAsia="es-CR"/>
              </w:rPr>
              <w:t>9</w:t>
            </w:r>
            <w:r w:rsidRPr="00382A62">
              <w:rPr>
                <w:rFonts w:eastAsia="Times New Roman" w:cs="Arial"/>
                <w:color w:val="000000"/>
                <w:szCs w:val="20"/>
                <w:lang w:eastAsia="es-CR"/>
              </w:rPr>
              <w:t>/3/202</w:t>
            </w:r>
            <w:r>
              <w:rPr>
                <w:rFonts w:eastAsia="Times New Roman" w:cs="Arial"/>
                <w:color w:val="000000"/>
                <w:szCs w:val="20"/>
                <w:lang w:eastAsia="es-CR"/>
              </w:rPr>
              <w:t>4</w:t>
            </w:r>
            <w:r w:rsidRPr="00382A62">
              <w:rPr>
                <w:rFonts w:eastAsia="Times New Roman" w:cs="Arial"/>
                <w:color w:val="000000"/>
                <w:szCs w:val="20"/>
                <w:lang w:eastAsia="es-CR"/>
              </w:rPr>
              <w:t xml:space="preserve"> </w:t>
            </w:r>
          </w:p>
        </w:tc>
        <w:tc>
          <w:tcPr>
            <w:tcW w:w="1460" w:type="dxa"/>
            <w:tcBorders>
              <w:top w:val="nil"/>
              <w:left w:val="nil"/>
              <w:bottom w:val="single" w:sz="4" w:space="0" w:color="A6A6A6"/>
              <w:right w:val="single" w:sz="4" w:space="0" w:color="A6A6A6"/>
            </w:tcBorders>
            <w:shd w:val="clear" w:color="auto" w:fill="auto"/>
            <w:noWrap/>
            <w:vAlign w:val="bottom"/>
            <w:hideMark/>
          </w:tcPr>
          <w:p w14:paraId="6BF5C98D" w14:textId="2881A974" w:rsidR="00ED7B80" w:rsidRPr="00382A62" w:rsidRDefault="00ED7B80" w:rsidP="00ED7B8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87.706.439</w:t>
            </w:r>
          </w:p>
        </w:tc>
        <w:tc>
          <w:tcPr>
            <w:tcW w:w="1460" w:type="dxa"/>
            <w:tcBorders>
              <w:top w:val="nil"/>
              <w:left w:val="nil"/>
              <w:bottom w:val="single" w:sz="4" w:space="0" w:color="A6A6A6"/>
              <w:right w:val="single" w:sz="4" w:space="0" w:color="A6A6A6"/>
            </w:tcBorders>
            <w:shd w:val="clear" w:color="auto" w:fill="auto"/>
            <w:noWrap/>
            <w:vAlign w:val="bottom"/>
            <w:hideMark/>
          </w:tcPr>
          <w:p w14:paraId="4F4205FB" w14:textId="0F4C1CD3" w:rsidR="00ED7B80" w:rsidRPr="00382A62" w:rsidRDefault="00ED7B80" w:rsidP="00ED7B80">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w:t>
            </w:r>
          </w:p>
        </w:tc>
        <w:tc>
          <w:tcPr>
            <w:tcW w:w="1460" w:type="dxa"/>
            <w:tcBorders>
              <w:top w:val="nil"/>
              <w:left w:val="nil"/>
              <w:bottom w:val="single" w:sz="4" w:space="0" w:color="A6A6A6"/>
              <w:right w:val="single" w:sz="4" w:space="0" w:color="A6A6A6"/>
            </w:tcBorders>
            <w:shd w:val="clear" w:color="auto" w:fill="auto"/>
            <w:noWrap/>
            <w:vAlign w:val="bottom"/>
            <w:hideMark/>
          </w:tcPr>
          <w:p w14:paraId="32EC4D6B" w14:textId="2929A29B" w:rsidR="00ED7B80" w:rsidRPr="00382A62" w:rsidRDefault="00ED7B80" w:rsidP="00ED7B8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1.489.763</w:t>
            </w:r>
          </w:p>
        </w:tc>
        <w:tc>
          <w:tcPr>
            <w:tcW w:w="1782" w:type="dxa"/>
            <w:tcBorders>
              <w:top w:val="nil"/>
              <w:left w:val="nil"/>
              <w:bottom w:val="single" w:sz="4" w:space="0" w:color="A6A6A6"/>
              <w:right w:val="single" w:sz="4" w:space="0" w:color="A6A6A6"/>
            </w:tcBorders>
            <w:shd w:val="clear" w:color="auto" w:fill="auto"/>
            <w:noWrap/>
            <w:vAlign w:val="bottom"/>
            <w:hideMark/>
          </w:tcPr>
          <w:p w14:paraId="2E62D68B" w14:textId="3BD5177B" w:rsidR="00ED7B80" w:rsidRPr="00382A62" w:rsidRDefault="00ED7B80" w:rsidP="00ED7B8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86.216.675</w:t>
            </w:r>
          </w:p>
        </w:tc>
      </w:tr>
    </w:tbl>
    <w:p w14:paraId="6515FC7A" w14:textId="77777777" w:rsidR="00A74D3F" w:rsidRDefault="00A74D3F" w:rsidP="00A74D3F">
      <w:pPr>
        <w:pStyle w:val="Prrafodelista"/>
        <w:spacing w:line="240" w:lineRule="auto"/>
        <w:rPr>
          <w:rFonts w:cs="Arial"/>
          <w:color w:val="7F7F7F" w:themeColor="text1" w:themeTint="80"/>
          <w:sz w:val="18"/>
          <w:szCs w:val="18"/>
        </w:rPr>
      </w:pPr>
    </w:p>
    <w:p w14:paraId="65784926" w14:textId="69FB3465" w:rsidR="007605E6" w:rsidRPr="00A74D3F" w:rsidRDefault="007605E6" w:rsidP="00147CF2">
      <w:pPr>
        <w:pStyle w:val="Prrafodelista"/>
        <w:numPr>
          <w:ilvl w:val="0"/>
          <w:numId w:val="50"/>
        </w:numPr>
        <w:spacing w:line="240" w:lineRule="auto"/>
        <w:rPr>
          <w:rFonts w:cs="Arial"/>
          <w:color w:val="7F7F7F" w:themeColor="text1" w:themeTint="80"/>
          <w:sz w:val="18"/>
          <w:szCs w:val="18"/>
        </w:rPr>
      </w:pPr>
      <w:r w:rsidRPr="00A74D3F">
        <w:rPr>
          <w:rFonts w:cs="Arial"/>
          <w:color w:val="7F7F7F" w:themeColor="text1" w:themeTint="80"/>
          <w:sz w:val="18"/>
          <w:szCs w:val="18"/>
        </w:rPr>
        <w:t>Corresponde a las acciones mantenidas en Tesorería</w:t>
      </w:r>
      <w:r w:rsidR="007D188F" w:rsidRPr="00A74D3F">
        <w:rPr>
          <w:rFonts w:cs="Arial"/>
          <w:color w:val="7F7F7F" w:themeColor="text1" w:themeTint="80"/>
          <w:sz w:val="18"/>
          <w:szCs w:val="18"/>
        </w:rPr>
        <w:t xml:space="preserve"> al cierre del período fiscal anterior.</w:t>
      </w:r>
    </w:p>
    <w:p w14:paraId="529B1C7B" w14:textId="77777777" w:rsidR="007605E6" w:rsidRPr="00382A62" w:rsidRDefault="007605E6" w:rsidP="007605E6">
      <w:pPr>
        <w:pStyle w:val="Prrafodelista"/>
        <w:spacing w:line="240" w:lineRule="auto"/>
        <w:rPr>
          <w:rFonts w:cs="Arial"/>
          <w:color w:val="7F7F7F" w:themeColor="text1" w:themeTint="80"/>
          <w:szCs w:val="20"/>
        </w:rPr>
      </w:pPr>
    </w:p>
    <w:p w14:paraId="23A0872F" w14:textId="77777777" w:rsidR="007605E6" w:rsidRPr="00382A62" w:rsidRDefault="007605E6" w:rsidP="007605E6">
      <w:pPr>
        <w:pStyle w:val="Prrafodelista"/>
        <w:spacing w:line="240" w:lineRule="auto"/>
        <w:rPr>
          <w:rFonts w:cs="Arial"/>
          <w:color w:val="7F7F7F" w:themeColor="text1" w:themeTint="80"/>
          <w:szCs w:val="20"/>
        </w:rPr>
      </w:pPr>
    </w:p>
    <w:p w14:paraId="606ECA26" w14:textId="77777777" w:rsidR="007605E6" w:rsidRPr="00382A62" w:rsidRDefault="007605E6" w:rsidP="007605E6">
      <w:pPr>
        <w:pStyle w:val="Prrafodelista"/>
        <w:numPr>
          <w:ilvl w:val="0"/>
          <w:numId w:val="23"/>
        </w:numPr>
        <w:rPr>
          <w:rFonts w:cs="Arial"/>
          <w:b/>
          <w:bCs/>
          <w:szCs w:val="20"/>
        </w:rPr>
      </w:pPr>
      <w:r w:rsidRPr="00382A62">
        <w:rPr>
          <w:rFonts w:cs="Arial"/>
          <w:b/>
          <w:bCs/>
          <w:szCs w:val="20"/>
        </w:rPr>
        <w:t>Porcentaje de participación de capital extranjero</w:t>
      </w:r>
    </w:p>
    <w:p w14:paraId="154DF6DD" w14:textId="3146A127" w:rsidR="007605E6" w:rsidRPr="00382A62" w:rsidRDefault="007605E6" w:rsidP="007605E6">
      <w:pPr>
        <w:rPr>
          <w:rFonts w:cs="Arial"/>
          <w:szCs w:val="20"/>
        </w:rPr>
      </w:pPr>
      <w:r w:rsidRPr="00382A62">
        <w:rPr>
          <w:rFonts w:cs="Arial"/>
          <w:szCs w:val="20"/>
        </w:rPr>
        <w:t>Al 31 de diciembre de 202</w:t>
      </w:r>
      <w:r w:rsidR="00247AF6" w:rsidRPr="00382A62">
        <w:rPr>
          <w:rFonts w:cs="Arial"/>
          <w:szCs w:val="20"/>
        </w:rPr>
        <w:t>3</w:t>
      </w:r>
      <w:r w:rsidRPr="00382A62">
        <w:rPr>
          <w:rFonts w:cs="Arial"/>
          <w:szCs w:val="20"/>
        </w:rPr>
        <w:t>, el porcentaje de participación de capital extranjero</w:t>
      </w:r>
      <w:r w:rsidRPr="00382A62">
        <w:rPr>
          <w:rStyle w:val="Refdenotaalpie"/>
          <w:rFonts w:cs="Arial"/>
          <w:szCs w:val="20"/>
        </w:rPr>
        <w:footnoteReference w:id="5"/>
      </w:r>
      <w:r w:rsidRPr="00382A62">
        <w:rPr>
          <w:rFonts w:cs="Arial"/>
          <w:szCs w:val="20"/>
        </w:rPr>
        <w:t xml:space="preserve"> era de </w:t>
      </w:r>
      <w:r w:rsidR="00550502" w:rsidRPr="00550502">
        <w:rPr>
          <w:rFonts w:cs="Arial"/>
          <w:szCs w:val="20"/>
        </w:rPr>
        <w:t>15.35%</w:t>
      </w:r>
    </w:p>
    <w:p w14:paraId="6B0434B4" w14:textId="42E1D196" w:rsidR="007605E6" w:rsidRPr="00382A62" w:rsidRDefault="007605E6" w:rsidP="007605E6">
      <w:pPr>
        <w:pStyle w:val="Ttulo2"/>
        <w:numPr>
          <w:ilvl w:val="0"/>
          <w:numId w:val="10"/>
        </w:numPr>
        <w:rPr>
          <w:rFonts w:cs="Arial"/>
          <w:sz w:val="20"/>
          <w:szCs w:val="20"/>
        </w:rPr>
      </w:pPr>
      <w:bookmarkStart w:id="101" w:name="_Toc131092876"/>
      <w:bookmarkStart w:id="102" w:name="_Toc131501075"/>
      <w:bookmarkStart w:id="103" w:name="_Toc169624634"/>
      <w:r w:rsidRPr="00382A62">
        <w:rPr>
          <w:rFonts w:cs="Arial"/>
          <w:sz w:val="20"/>
          <w:szCs w:val="20"/>
        </w:rPr>
        <w:t>Contingencias (al 31 de diciembre de 202</w:t>
      </w:r>
      <w:r w:rsidR="00247AF6" w:rsidRPr="00382A62">
        <w:rPr>
          <w:rFonts w:cs="Arial"/>
          <w:sz w:val="20"/>
          <w:szCs w:val="20"/>
        </w:rPr>
        <w:t>3</w:t>
      </w:r>
      <w:r w:rsidRPr="00382A62">
        <w:rPr>
          <w:rFonts w:cs="Arial"/>
          <w:sz w:val="20"/>
          <w:szCs w:val="20"/>
        </w:rPr>
        <w:t>)</w:t>
      </w:r>
      <w:bookmarkEnd w:id="101"/>
      <w:bookmarkEnd w:id="102"/>
      <w:bookmarkEnd w:id="103"/>
    </w:p>
    <w:p w14:paraId="1B66D4FB" w14:textId="3C016884" w:rsidR="007605E6" w:rsidRPr="00382A62" w:rsidRDefault="003823CA" w:rsidP="007605E6">
      <w:pPr>
        <w:rPr>
          <w:rFonts w:cs="Arial"/>
          <w:szCs w:val="20"/>
        </w:rPr>
      </w:pPr>
      <w:r w:rsidRPr="00382A62">
        <w:rPr>
          <w:rFonts w:cs="Arial"/>
          <w:szCs w:val="20"/>
        </w:rPr>
        <w:t>La Compañía, en algunas subsidiarias, mantiene casos abiertos por procesos derivados del curso ordinario del negocio. De conformidad con el criterio de los asesores legales, los ajustes y demás pretensiones son improcedentes, y las sociedades actuaron conforme al marco jurídico y contable aplicable. Debido a esto, y en apego a la NIC 37, no se incluye en el estado consolidado de pérdida y ganancia y otros resultados integrales provisión alguna para cubrir cualquier pérdida que pudiera surgir en la resolución final de las contingencias indicadas en esta nota</w:t>
      </w:r>
      <w:r w:rsidR="007605E6" w:rsidRPr="00382A62">
        <w:rPr>
          <w:rFonts w:cs="Arial"/>
          <w:szCs w:val="20"/>
        </w:rPr>
        <w:t>.</w:t>
      </w:r>
    </w:p>
    <w:p w14:paraId="530550C3" w14:textId="77777777" w:rsidR="007605E6" w:rsidRPr="00382A62" w:rsidRDefault="007605E6" w:rsidP="007E6B5A">
      <w:pPr>
        <w:pStyle w:val="Prrafodelista"/>
        <w:numPr>
          <w:ilvl w:val="0"/>
          <w:numId w:val="25"/>
        </w:numPr>
        <w:ind w:left="1776"/>
        <w:rPr>
          <w:rFonts w:cs="Arial"/>
          <w:b/>
          <w:bCs/>
          <w:szCs w:val="20"/>
        </w:rPr>
      </w:pPr>
      <w:r w:rsidRPr="00382A62">
        <w:rPr>
          <w:rFonts w:cs="Arial"/>
          <w:b/>
          <w:bCs/>
          <w:szCs w:val="20"/>
        </w:rPr>
        <w:t>Contingencias Tributarias en Costa Rica</w:t>
      </w:r>
    </w:p>
    <w:p w14:paraId="3233B120" w14:textId="77777777" w:rsidR="003A5B51" w:rsidRPr="00382A62" w:rsidRDefault="003A5B51" w:rsidP="003A5B51">
      <w:pPr>
        <w:ind w:left="708"/>
        <w:rPr>
          <w:rFonts w:cs="Arial"/>
          <w:szCs w:val="20"/>
        </w:rPr>
      </w:pPr>
      <w:r w:rsidRPr="00382A62">
        <w:rPr>
          <w:rFonts w:cs="Arial"/>
          <w:szCs w:val="20"/>
        </w:rPr>
        <w:t>En junio del 2019, en Costa Rica se recibió la resolución administrativa por parte del Instituto de Fomento y Asesoría Municipal (IFAM) sobre impuestos asociados a bebidas alcohólicas saborizadas (BAS), para los períodos fiscales comprendidos entre 2013 y 2015. El monto de este ajuste asciende a ¢614 millones, monto sujeto a intereses. Este caso está siendo discutido en el Tribunal Contencioso Administrativo, y las acciones de cobro se encuentran suspendidas por una medida cautelar interpuesta por la empresa.</w:t>
      </w:r>
    </w:p>
    <w:p w14:paraId="041EDF83" w14:textId="77777777" w:rsidR="003A5B51" w:rsidRPr="00382A62" w:rsidRDefault="003A5B51" w:rsidP="003A5B51">
      <w:pPr>
        <w:ind w:left="708"/>
        <w:rPr>
          <w:rFonts w:cs="Arial"/>
          <w:szCs w:val="20"/>
        </w:rPr>
      </w:pPr>
      <w:r w:rsidRPr="00382A62">
        <w:rPr>
          <w:rFonts w:cs="Arial"/>
          <w:szCs w:val="20"/>
        </w:rPr>
        <w:t>En agosto del 2022, en Costa Rica se recibió la resolución administrativa por parte del IFAM sobre impuestos asociados a bebidas alcohólicas saborizadas (BAS), para los períodos fiscales comprendidos entre 2016 y 2019. El monto de este ajuste asciende a ¢2.202 millones, monto sujeto a intereses. Este caso se encuentra en discusión en el Tribunal Fiscal Administrativo.</w:t>
      </w:r>
    </w:p>
    <w:p w14:paraId="2736A05C" w14:textId="0BA4EF61" w:rsidR="007605E6" w:rsidRPr="00382A62" w:rsidRDefault="003A5B51" w:rsidP="003A5B51">
      <w:pPr>
        <w:ind w:left="708"/>
        <w:rPr>
          <w:rFonts w:cs="Arial"/>
          <w:szCs w:val="20"/>
        </w:rPr>
      </w:pPr>
      <w:r w:rsidRPr="00382A62">
        <w:rPr>
          <w:rFonts w:cs="Arial"/>
          <w:szCs w:val="20"/>
        </w:rPr>
        <w:t xml:space="preserve">En junio del 2022, en Costa Rica se recibieron los fallos administrativos por parte del Tribunal Fiscal Administrativo en contra de una de las compañías del grupo, en los cuales se confirmaron ajustes al impuesto de utilidades, retenciones sobre remesas, y al impuesto general sobre las ventas, para los períodos fiscales 2016 y 2017, por un monto de ¢2.207 millones, monto sujeto a intereses y multas. En fecha 8 de junio de 2023, se presentó una demanda contenciosa administrativa, por lo que este caso está </w:t>
      </w:r>
      <w:r w:rsidRPr="00382A62">
        <w:rPr>
          <w:rFonts w:cs="Arial"/>
          <w:szCs w:val="20"/>
        </w:rPr>
        <w:lastRenderedPageBreak/>
        <w:t>siendo discutido ante esa instancia. Las acciones cobratorias se encuentran suspendidas por una medida cautelar interpuesta por la empresa y otorgada en forma definitiva por el Tribunal Contencioso Administrativo el 1° de noviembre de 2023.</w:t>
      </w:r>
    </w:p>
    <w:p w14:paraId="75B2AC7B" w14:textId="77777777" w:rsidR="007605E6" w:rsidRPr="00382A62" w:rsidRDefault="007605E6" w:rsidP="007605E6">
      <w:pPr>
        <w:pStyle w:val="Prrafodelista"/>
        <w:numPr>
          <w:ilvl w:val="0"/>
          <w:numId w:val="25"/>
        </w:numPr>
        <w:rPr>
          <w:rFonts w:cs="Arial"/>
          <w:b/>
          <w:bCs/>
          <w:szCs w:val="20"/>
        </w:rPr>
      </w:pPr>
      <w:r w:rsidRPr="00382A62">
        <w:rPr>
          <w:rFonts w:cs="Arial"/>
          <w:b/>
          <w:bCs/>
          <w:szCs w:val="20"/>
        </w:rPr>
        <w:t>Otras contingencias</w:t>
      </w:r>
    </w:p>
    <w:p w14:paraId="43B794DE" w14:textId="7C0C8D9E" w:rsidR="007605E6" w:rsidRPr="00382A62" w:rsidRDefault="001B319E" w:rsidP="007605E6">
      <w:pPr>
        <w:rPr>
          <w:rFonts w:cs="Arial"/>
          <w:szCs w:val="20"/>
        </w:rPr>
      </w:pPr>
      <w:r w:rsidRPr="00382A62">
        <w:rPr>
          <w:rFonts w:cs="Arial"/>
          <w:szCs w:val="20"/>
        </w:rPr>
        <w:t>En contra de la Compañía y sus subsidiarias existen juicios ordinarios laborales cuyas cuantías ascienden a la suma aproximada de ¢661 millones, y otros juicios cuya cuantía no se incluye en este monto ya que no fueron estimados en la demanda y que, por lo tanto, son de difícil determinación. Actualmente, todos estos procesos están tramitándose a nivel judicial, y en su mayoría se están impugnando las cuantías reclamadas</w:t>
      </w:r>
      <w:r w:rsidR="007605E6" w:rsidRPr="00382A62">
        <w:rPr>
          <w:rFonts w:cs="Arial"/>
          <w:szCs w:val="20"/>
        </w:rPr>
        <w:t>.</w:t>
      </w:r>
    </w:p>
    <w:p w14:paraId="74D6E602" w14:textId="6BD5FDEC" w:rsidR="007605E6" w:rsidRPr="00382A62" w:rsidRDefault="007605E6" w:rsidP="007605E6">
      <w:pPr>
        <w:pStyle w:val="Ttulo2"/>
        <w:numPr>
          <w:ilvl w:val="0"/>
          <w:numId w:val="10"/>
        </w:numPr>
        <w:rPr>
          <w:rFonts w:cs="Arial"/>
          <w:sz w:val="20"/>
          <w:szCs w:val="20"/>
        </w:rPr>
      </w:pPr>
      <w:bookmarkStart w:id="104" w:name="_Toc131092877"/>
      <w:bookmarkStart w:id="105" w:name="_Toc131501076"/>
      <w:bookmarkStart w:id="106" w:name="_Toc169624635"/>
      <w:r w:rsidRPr="00382A62">
        <w:rPr>
          <w:rFonts w:cs="Arial"/>
          <w:sz w:val="20"/>
          <w:szCs w:val="20"/>
        </w:rPr>
        <w:t>Compromisos (al 31 de diciembre de 202</w:t>
      </w:r>
      <w:r w:rsidR="000808B8" w:rsidRPr="00382A62">
        <w:rPr>
          <w:rFonts w:cs="Arial"/>
          <w:sz w:val="20"/>
          <w:szCs w:val="20"/>
        </w:rPr>
        <w:t>3</w:t>
      </w:r>
      <w:r w:rsidRPr="00382A62">
        <w:rPr>
          <w:rFonts w:cs="Arial"/>
          <w:sz w:val="20"/>
          <w:szCs w:val="20"/>
        </w:rPr>
        <w:t>)</w:t>
      </w:r>
      <w:bookmarkEnd w:id="104"/>
      <w:bookmarkEnd w:id="105"/>
      <w:bookmarkEnd w:id="106"/>
    </w:p>
    <w:p w14:paraId="443A290A" w14:textId="77777777" w:rsidR="00CF1078" w:rsidRPr="00382A62" w:rsidRDefault="00CF1078" w:rsidP="00CF1078">
      <w:pPr>
        <w:rPr>
          <w:rFonts w:cs="Arial"/>
          <w:szCs w:val="20"/>
        </w:rPr>
      </w:pPr>
      <w:r w:rsidRPr="00382A62">
        <w:rPr>
          <w:rFonts w:cs="Arial"/>
          <w:szCs w:val="20"/>
        </w:rPr>
        <w:t>Florida Ice and Farm Company, S.A. es garante y avalista solidario por la suma US$35.700 en miles por una operación de crédito que mantiene una subsidiaria con una institución financiera. Además, es codeudora por la suma ¢18.483 millones en una operación concedida a una subsidiaria por una institución financiera.</w:t>
      </w:r>
    </w:p>
    <w:p w14:paraId="064542E5" w14:textId="77777777" w:rsidR="00CF1078" w:rsidRPr="00382A62" w:rsidRDefault="00CF1078" w:rsidP="00CF1078">
      <w:pPr>
        <w:rPr>
          <w:rFonts w:cs="Arial"/>
          <w:szCs w:val="20"/>
        </w:rPr>
      </w:pPr>
      <w:r w:rsidRPr="00382A62">
        <w:rPr>
          <w:rFonts w:cs="Arial"/>
          <w:szCs w:val="20"/>
        </w:rPr>
        <w:t>La Compañía tiene fianzas mercantiles a favor de terceros por la suma de US$17.067 en miles y ¢1.025 millones para garantizar el cumplimiento de obligaciones contractuales.</w:t>
      </w:r>
    </w:p>
    <w:p w14:paraId="2A241200" w14:textId="77777777" w:rsidR="00CF1078" w:rsidRPr="00382A62" w:rsidRDefault="00CF1078" w:rsidP="00CF1078">
      <w:pPr>
        <w:rPr>
          <w:rFonts w:cs="Arial"/>
          <w:szCs w:val="20"/>
        </w:rPr>
      </w:pPr>
      <w:r w:rsidRPr="00382A62">
        <w:rPr>
          <w:rFonts w:cs="Arial"/>
          <w:szCs w:val="20"/>
        </w:rPr>
        <w:t>Distribuidora La Florida, S.A. y subsidiarias son garantes solidarios de operaciones por la suma de US$211.250 en miles y ¢77.400 millones por operaciones de crédito que mantienen con instituciones financieras.</w:t>
      </w:r>
    </w:p>
    <w:p w14:paraId="64D455DA" w14:textId="3E06BC2A" w:rsidR="007605E6" w:rsidRPr="00382A62" w:rsidRDefault="00CF1078" w:rsidP="00CF1078">
      <w:pPr>
        <w:rPr>
          <w:rFonts w:cs="Arial"/>
          <w:szCs w:val="20"/>
        </w:rPr>
      </w:pPr>
      <w:r w:rsidRPr="00382A62">
        <w:rPr>
          <w:rFonts w:cs="Arial"/>
          <w:szCs w:val="20"/>
        </w:rPr>
        <w:t>Distribuidora La Florida, S.A. mantiene garantías reales por un monto total de US$714 en miles y ¢438 millones por garantías de proyectos.</w:t>
      </w:r>
      <w:r w:rsidR="007605E6" w:rsidRPr="00382A62">
        <w:rPr>
          <w:rFonts w:cs="Arial"/>
          <w:szCs w:val="20"/>
        </w:rPr>
        <w:br w:type="page"/>
      </w:r>
    </w:p>
    <w:p w14:paraId="7B5BE075" w14:textId="033B491C" w:rsidR="002B50E5" w:rsidRPr="00382A62" w:rsidRDefault="001454E9" w:rsidP="00FE36CE">
      <w:pPr>
        <w:rPr>
          <w:rFonts w:cs="Arial"/>
          <w:szCs w:val="20"/>
        </w:rPr>
      </w:pPr>
      <w:r w:rsidRPr="00382A62">
        <w:rPr>
          <w:rFonts w:cs="Arial"/>
          <w:noProof/>
          <w:szCs w:val="20"/>
        </w:rPr>
        <w:lastRenderedPageBreak/>
        <w:drawing>
          <wp:anchor distT="0" distB="0" distL="114300" distR="114300" simplePos="0" relativeHeight="251708416" behindDoc="1" locked="0" layoutInCell="1" allowOverlap="1" wp14:anchorId="0B7FFD52" wp14:editId="7D840A9B">
            <wp:simplePos x="0" y="0"/>
            <wp:positionH relativeFrom="column">
              <wp:posOffset>-680085</wp:posOffset>
            </wp:positionH>
            <wp:positionV relativeFrom="paragraph">
              <wp:posOffset>-847252</wp:posOffset>
            </wp:positionV>
            <wp:extent cx="7701562" cy="10003808"/>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701562" cy="10003808"/>
                    </a:xfrm>
                    <a:prstGeom prst="rect">
                      <a:avLst/>
                    </a:prstGeom>
                  </pic:spPr>
                </pic:pic>
              </a:graphicData>
            </a:graphic>
            <wp14:sizeRelH relativeFrom="margin">
              <wp14:pctWidth>0</wp14:pctWidth>
            </wp14:sizeRelH>
            <wp14:sizeRelV relativeFrom="margin">
              <wp14:pctHeight>0</wp14:pctHeight>
            </wp14:sizeRelV>
          </wp:anchor>
        </w:drawing>
      </w:r>
    </w:p>
    <w:p w14:paraId="0EBEF23A" w14:textId="73F7C486" w:rsidR="002B50E5" w:rsidRPr="00382A62" w:rsidRDefault="002B50E5" w:rsidP="00FE36CE">
      <w:pPr>
        <w:rPr>
          <w:rFonts w:cs="Arial"/>
          <w:szCs w:val="20"/>
        </w:rPr>
      </w:pPr>
    </w:p>
    <w:p w14:paraId="4E5F4927" w14:textId="77777777" w:rsidR="002B50E5" w:rsidRPr="00382A62" w:rsidRDefault="002B50E5" w:rsidP="00FE36CE">
      <w:pPr>
        <w:rPr>
          <w:rFonts w:cs="Arial"/>
          <w:szCs w:val="20"/>
        </w:rPr>
      </w:pPr>
    </w:p>
    <w:p w14:paraId="38862BD8" w14:textId="1AE6FDFC" w:rsidR="002B50E5" w:rsidRPr="00382A62" w:rsidRDefault="002B50E5" w:rsidP="00FE36CE">
      <w:pPr>
        <w:rPr>
          <w:rFonts w:cs="Arial"/>
          <w:szCs w:val="20"/>
        </w:rPr>
      </w:pPr>
    </w:p>
    <w:p w14:paraId="0E4CCCAC" w14:textId="77777777" w:rsidR="002B50E5" w:rsidRPr="00382A62" w:rsidRDefault="002B50E5" w:rsidP="00FE36CE">
      <w:pPr>
        <w:rPr>
          <w:rFonts w:cs="Arial"/>
          <w:szCs w:val="20"/>
        </w:rPr>
      </w:pPr>
    </w:p>
    <w:p w14:paraId="335495BD" w14:textId="08EA52B7" w:rsidR="002B50E5" w:rsidRPr="00382A62" w:rsidRDefault="00555564" w:rsidP="00555564">
      <w:pPr>
        <w:tabs>
          <w:tab w:val="left" w:pos="7815"/>
        </w:tabs>
        <w:rPr>
          <w:rFonts w:cs="Arial"/>
          <w:szCs w:val="20"/>
        </w:rPr>
      </w:pPr>
      <w:r w:rsidRPr="00382A62">
        <w:rPr>
          <w:rFonts w:cs="Arial"/>
          <w:szCs w:val="20"/>
        </w:rPr>
        <w:tab/>
      </w:r>
    </w:p>
    <w:p w14:paraId="03D968CD" w14:textId="77777777" w:rsidR="002B50E5" w:rsidRPr="00382A62" w:rsidRDefault="002B50E5" w:rsidP="00FE36CE">
      <w:pPr>
        <w:rPr>
          <w:rFonts w:cs="Arial"/>
          <w:szCs w:val="20"/>
        </w:rPr>
      </w:pPr>
    </w:p>
    <w:p w14:paraId="46963080" w14:textId="77777777" w:rsidR="002B50E5" w:rsidRPr="00382A62" w:rsidRDefault="002B50E5" w:rsidP="00FE36CE">
      <w:pPr>
        <w:rPr>
          <w:rFonts w:cs="Arial"/>
          <w:szCs w:val="20"/>
        </w:rPr>
      </w:pPr>
    </w:p>
    <w:p w14:paraId="0ACF88E7" w14:textId="77777777" w:rsidR="00B853BF" w:rsidRPr="00382A62" w:rsidRDefault="00B853BF" w:rsidP="00FE36CE">
      <w:pPr>
        <w:rPr>
          <w:rFonts w:cs="Arial"/>
          <w:szCs w:val="20"/>
        </w:rPr>
      </w:pPr>
    </w:p>
    <w:p w14:paraId="56C3B6B2" w14:textId="77777777" w:rsidR="00B853BF" w:rsidRDefault="00B853BF" w:rsidP="00FE36CE">
      <w:pPr>
        <w:rPr>
          <w:rFonts w:cs="Arial"/>
          <w:szCs w:val="20"/>
        </w:rPr>
      </w:pPr>
    </w:p>
    <w:p w14:paraId="32D496F0" w14:textId="77777777" w:rsidR="00741CEA" w:rsidRDefault="00741CEA" w:rsidP="00FE36CE">
      <w:pPr>
        <w:rPr>
          <w:rFonts w:cs="Arial"/>
          <w:szCs w:val="20"/>
        </w:rPr>
      </w:pPr>
    </w:p>
    <w:p w14:paraId="7DFF2DAA" w14:textId="77777777" w:rsidR="00741CEA" w:rsidRDefault="00741CEA" w:rsidP="00FE36CE">
      <w:pPr>
        <w:rPr>
          <w:rFonts w:cs="Arial"/>
          <w:szCs w:val="20"/>
        </w:rPr>
      </w:pPr>
    </w:p>
    <w:p w14:paraId="4383B8E6" w14:textId="77777777" w:rsidR="00402D27" w:rsidRDefault="00402D27" w:rsidP="00FE36CE">
      <w:pPr>
        <w:rPr>
          <w:rFonts w:cs="Arial"/>
          <w:szCs w:val="20"/>
        </w:rPr>
      </w:pPr>
    </w:p>
    <w:p w14:paraId="481CD499" w14:textId="77777777" w:rsidR="00402D27" w:rsidRDefault="00402D27" w:rsidP="00FE36CE">
      <w:pPr>
        <w:rPr>
          <w:rFonts w:cs="Arial"/>
          <w:szCs w:val="20"/>
        </w:rPr>
      </w:pPr>
    </w:p>
    <w:p w14:paraId="659C4438" w14:textId="7C16BB73" w:rsidR="00327F09" w:rsidRPr="00E718F1" w:rsidRDefault="00402D27" w:rsidP="00327F09">
      <w:pPr>
        <w:pStyle w:val="Ttulo1"/>
        <w:rPr>
          <w:rFonts w:cs="Arial"/>
          <w:sz w:val="44"/>
          <w:szCs w:val="44"/>
        </w:rPr>
      </w:pPr>
      <w:bookmarkStart w:id="107" w:name="_Toc131501077"/>
      <w:bookmarkStart w:id="108" w:name="_Toc169624636"/>
      <w:r w:rsidRPr="00E718F1">
        <w:rPr>
          <w:rFonts w:cs="Arial"/>
          <w:sz w:val="44"/>
          <w:szCs w:val="44"/>
        </w:rPr>
        <w:t>Ca</w:t>
      </w:r>
      <w:r w:rsidR="00327F09" w:rsidRPr="00E718F1">
        <w:rPr>
          <w:rFonts w:cs="Arial"/>
          <w:sz w:val="44"/>
          <w:szCs w:val="44"/>
        </w:rPr>
        <w:t>pítulo 3</w:t>
      </w:r>
      <w:r w:rsidR="00206528" w:rsidRPr="00E718F1">
        <w:rPr>
          <w:rFonts w:cs="Arial"/>
          <w:sz w:val="44"/>
          <w:szCs w:val="44"/>
        </w:rPr>
        <w:t>.</w:t>
      </w:r>
      <w:bookmarkEnd w:id="107"/>
      <w:bookmarkEnd w:id="108"/>
    </w:p>
    <w:p w14:paraId="36F211E1" w14:textId="77777777" w:rsidR="007E7CB0" w:rsidRPr="00E718F1" w:rsidRDefault="002B50E5" w:rsidP="00327F09">
      <w:pPr>
        <w:pStyle w:val="Ttulo1"/>
        <w:rPr>
          <w:rFonts w:cs="Arial"/>
          <w:color w:val="A6A6A6" w:themeColor="background1" w:themeShade="A6"/>
          <w:sz w:val="44"/>
          <w:szCs w:val="44"/>
        </w:rPr>
      </w:pPr>
      <w:bookmarkStart w:id="109" w:name="_Toc131501078"/>
      <w:bookmarkStart w:id="110" w:name="_Toc169624637"/>
      <w:r w:rsidRPr="00E718F1">
        <w:rPr>
          <w:rFonts w:cs="Arial"/>
          <w:color w:val="0D0D0D" w:themeColor="text1" w:themeTint="F2"/>
          <w:sz w:val="44"/>
          <w:szCs w:val="44"/>
        </w:rPr>
        <w:t>Información sobre la empresa emisora</w:t>
      </w:r>
      <w:bookmarkEnd w:id="109"/>
      <w:bookmarkEnd w:id="110"/>
    </w:p>
    <w:p w14:paraId="7FA4B00A" w14:textId="77777777" w:rsidR="007E7CB0" w:rsidRPr="00AA3E2C" w:rsidRDefault="007E7CB0" w:rsidP="00993067">
      <w:pPr>
        <w:rPr>
          <w:rFonts w:eastAsiaTheme="majorEastAsia" w:cs="Arial"/>
          <w:sz w:val="32"/>
          <w:szCs w:val="32"/>
        </w:rPr>
      </w:pPr>
      <w:r w:rsidRPr="00AA3E2C">
        <w:rPr>
          <w:rFonts w:cs="Arial"/>
          <w:sz w:val="32"/>
          <w:szCs w:val="32"/>
        </w:rPr>
        <w:br w:type="page"/>
      </w:r>
    </w:p>
    <w:p w14:paraId="4541B2FA" w14:textId="77777777" w:rsidR="007605E6" w:rsidRPr="00382A62" w:rsidRDefault="007605E6" w:rsidP="007605E6">
      <w:pPr>
        <w:pStyle w:val="Ttulo2"/>
        <w:numPr>
          <w:ilvl w:val="0"/>
          <w:numId w:val="11"/>
        </w:numPr>
        <w:rPr>
          <w:rFonts w:cs="Arial"/>
          <w:sz w:val="20"/>
          <w:szCs w:val="20"/>
        </w:rPr>
      </w:pPr>
      <w:bookmarkStart w:id="111" w:name="_Toc131092878"/>
      <w:bookmarkStart w:id="112" w:name="_Toc131501079"/>
      <w:bookmarkStart w:id="113" w:name="_Toc169624638"/>
      <w:r w:rsidRPr="00382A62">
        <w:rPr>
          <w:rFonts w:cs="Arial"/>
          <w:sz w:val="20"/>
          <w:szCs w:val="20"/>
        </w:rPr>
        <w:lastRenderedPageBreak/>
        <w:t>Historia y desarrollo de la empresa</w:t>
      </w:r>
      <w:bookmarkEnd w:id="111"/>
      <w:bookmarkEnd w:id="112"/>
      <w:bookmarkEnd w:id="113"/>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6814"/>
      </w:tblGrid>
      <w:tr w:rsidR="007605E6" w:rsidRPr="00AE56F4" w14:paraId="0D4F6670" w14:textId="77777777" w:rsidTr="007D00B2">
        <w:trPr>
          <w:trHeight w:val="479"/>
        </w:trPr>
        <w:tc>
          <w:tcPr>
            <w:tcW w:w="3256" w:type="dxa"/>
            <w:shd w:val="clear" w:color="auto" w:fill="F2F2F2" w:themeFill="background1" w:themeFillShade="F2"/>
            <w:vAlign w:val="center"/>
          </w:tcPr>
          <w:p w14:paraId="047BEBAD" w14:textId="77777777" w:rsidR="007605E6" w:rsidRPr="00382A62" w:rsidRDefault="007605E6" w:rsidP="007D00B2">
            <w:pPr>
              <w:jc w:val="left"/>
              <w:rPr>
                <w:rFonts w:cs="Arial"/>
                <w:b/>
                <w:bCs/>
                <w:szCs w:val="20"/>
              </w:rPr>
            </w:pPr>
            <w:r w:rsidRPr="00382A62">
              <w:rPr>
                <w:rFonts w:cs="Arial"/>
                <w:b/>
                <w:bCs/>
                <w:szCs w:val="20"/>
              </w:rPr>
              <w:t>Razón Social:</w:t>
            </w:r>
          </w:p>
        </w:tc>
        <w:tc>
          <w:tcPr>
            <w:tcW w:w="6814" w:type="dxa"/>
            <w:vAlign w:val="center"/>
          </w:tcPr>
          <w:p w14:paraId="210D10EF" w14:textId="77777777" w:rsidR="007605E6" w:rsidRPr="00382A62" w:rsidRDefault="007605E6" w:rsidP="007D00B2">
            <w:pPr>
              <w:jc w:val="left"/>
              <w:rPr>
                <w:rFonts w:cs="Arial"/>
                <w:szCs w:val="20"/>
                <w:lang w:val="en-US"/>
              </w:rPr>
            </w:pPr>
            <w:r w:rsidRPr="00382A62">
              <w:rPr>
                <w:rFonts w:cs="Arial"/>
                <w:szCs w:val="20"/>
                <w:lang w:val="en-US"/>
              </w:rPr>
              <w:t>Florida Ice and Farm Company, Sociedad Anónima</w:t>
            </w:r>
          </w:p>
        </w:tc>
      </w:tr>
      <w:tr w:rsidR="007605E6" w:rsidRPr="00382A62" w14:paraId="4830DA2C" w14:textId="77777777" w:rsidTr="007D00B2">
        <w:trPr>
          <w:trHeight w:val="479"/>
        </w:trPr>
        <w:tc>
          <w:tcPr>
            <w:tcW w:w="3256" w:type="dxa"/>
            <w:shd w:val="clear" w:color="auto" w:fill="F2F2F2" w:themeFill="background1" w:themeFillShade="F2"/>
            <w:vAlign w:val="center"/>
          </w:tcPr>
          <w:p w14:paraId="3A198059" w14:textId="77777777" w:rsidR="007605E6" w:rsidRPr="00382A62" w:rsidRDefault="007605E6" w:rsidP="007D00B2">
            <w:pPr>
              <w:jc w:val="left"/>
              <w:rPr>
                <w:rFonts w:cs="Arial"/>
                <w:b/>
                <w:bCs/>
                <w:szCs w:val="20"/>
              </w:rPr>
            </w:pPr>
            <w:r w:rsidRPr="00382A62">
              <w:rPr>
                <w:rFonts w:cs="Arial"/>
                <w:b/>
                <w:bCs/>
                <w:szCs w:val="20"/>
              </w:rPr>
              <w:t>Teléfono:</w:t>
            </w:r>
          </w:p>
        </w:tc>
        <w:tc>
          <w:tcPr>
            <w:tcW w:w="6814" w:type="dxa"/>
            <w:vAlign w:val="center"/>
          </w:tcPr>
          <w:p w14:paraId="7F5DAFDE" w14:textId="77777777" w:rsidR="007605E6" w:rsidRPr="00382A62" w:rsidRDefault="007605E6" w:rsidP="007D00B2">
            <w:pPr>
              <w:jc w:val="left"/>
              <w:rPr>
                <w:rFonts w:cs="Arial"/>
                <w:szCs w:val="20"/>
              </w:rPr>
            </w:pPr>
            <w:r w:rsidRPr="00382A62">
              <w:rPr>
                <w:rFonts w:cs="Arial"/>
                <w:szCs w:val="20"/>
              </w:rPr>
              <w:t>(506) 2437-6700</w:t>
            </w:r>
          </w:p>
        </w:tc>
      </w:tr>
      <w:tr w:rsidR="007605E6" w:rsidRPr="00382A62" w14:paraId="4B3C4CED" w14:textId="77777777" w:rsidTr="007D00B2">
        <w:trPr>
          <w:trHeight w:val="479"/>
        </w:trPr>
        <w:tc>
          <w:tcPr>
            <w:tcW w:w="3256" w:type="dxa"/>
            <w:shd w:val="clear" w:color="auto" w:fill="F2F2F2" w:themeFill="background1" w:themeFillShade="F2"/>
            <w:vAlign w:val="center"/>
          </w:tcPr>
          <w:p w14:paraId="152EB403" w14:textId="77777777" w:rsidR="007605E6" w:rsidRPr="00382A62" w:rsidRDefault="007605E6" w:rsidP="007D00B2">
            <w:pPr>
              <w:jc w:val="left"/>
              <w:rPr>
                <w:rFonts w:cs="Arial"/>
                <w:b/>
                <w:bCs/>
                <w:szCs w:val="20"/>
              </w:rPr>
            </w:pPr>
            <w:r w:rsidRPr="00382A62">
              <w:rPr>
                <w:rFonts w:cs="Arial"/>
                <w:b/>
                <w:bCs/>
                <w:szCs w:val="20"/>
              </w:rPr>
              <w:t>WhatsApp</w:t>
            </w:r>
          </w:p>
        </w:tc>
        <w:tc>
          <w:tcPr>
            <w:tcW w:w="6814" w:type="dxa"/>
            <w:vAlign w:val="center"/>
          </w:tcPr>
          <w:p w14:paraId="3BBC8B64" w14:textId="77777777" w:rsidR="007605E6" w:rsidRPr="00382A62" w:rsidRDefault="007605E6" w:rsidP="007D00B2">
            <w:pPr>
              <w:jc w:val="left"/>
              <w:rPr>
                <w:rFonts w:cs="Arial"/>
                <w:szCs w:val="20"/>
              </w:rPr>
            </w:pPr>
            <w:r w:rsidRPr="00382A62">
              <w:rPr>
                <w:rFonts w:cs="Arial"/>
                <w:szCs w:val="20"/>
              </w:rPr>
              <w:t>(506) 7011-7070</w:t>
            </w:r>
          </w:p>
        </w:tc>
      </w:tr>
      <w:tr w:rsidR="007605E6" w:rsidRPr="00382A62" w14:paraId="3C8B0723" w14:textId="77777777" w:rsidTr="007D00B2">
        <w:trPr>
          <w:trHeight w:val="479"/>
        </w:trPr>
        <w:tc>
          <w:tcPr>
            <w:tcW w:w="3256" w:type="dxa"/>
            <w:shd w:val="clear" w:color="auto" w:fill="F2F2F2" w:themeFill="background1" w:themeFillShade="F2"/>
            <w:vAlign w:val="center"/>
          </w:tcPr>
          <w:p w14:paraId="635FF284" w14:textId="77777777" w:rsidR="007605E6" w:rsidRPr="00382A62" w:rsidRDefault="007605E6" w:rsidP="007D00B2">
            <w:pPr>
              <w:jc w:val="left"/>
              <w:rPr>
                <w:rFonts w:cs="Arial"/>
                <w:b/>
                <w:bCs/>
                <w:szCs w:val="20"/>
              </w:rPr>
            </w:pPr>
            <w:r w:rsidRPr="00382A62">
              <w:rPr>
                <w:rFonts w:cs="Arial"/>
                <w:b/>
                <w:bCs/>
                <w:szCs w:val="20"/>
              </w:rPr>
              <w:t>Fax:</w:t>
            </w:r>
          </w:p>
        </w:tc>
        <w:tc>
          <w:tcPr>
            <w:tcW w:w="6814" w:type="dxa"/>
            <w:vAlign w:val="center"/>
          </w:tcPr>
          <w:p w14:paraId="72E7AAA9" w14:textId="77777777" w:rsidR="007605E6" w:rsidRPr="00382A62" w:rsidRDefault="007605E6" w:rsidP="007D00B2">
            <w:pPr>
              <w:jc w:val="left"/>
              <w:rPr>
                <w:rFonts w:cs="Arial"/>
                <w:szCs w:val="20"/>
              </w:rPr>
            </w:pPr>
            <w:r w:rsidRPr="00382A62">
              <w:rPr>
                <w:rFonts w:cs="Arial"/>
                <w:szCs w:val="20"/>
              </w:rPr>
              <w:t>(506) 2437-7000</w:t>
            </w:r>
          </w:p>
        </w:tc>
      </w:tr>
      <w:tr w:rsidR="007605E6" w:rsidRPr="00382A62" w14:paraId="06E38C3D" w14:textId="77777777" w:rsidTr="007D00B2">
        <w:trPr>
          <w:trHeight w:val="479"/>
        </w:trPr>
        <w:tc>
          <w:tcPr>
            <w:tcW w:w="3256" w:type="dxa"/>
            <w:shd w:val="clear" w:color="auto" w:fill="F2F2F2" w:themeFill="background1" w:themeFillShade="F2"/>
            <w:vAlign w:val="center"/>
          </w:tcPr>
          <w:p w14:paraId="3C9D995D" w14:textId="77777777" w:rsidR="007605E6" w:rsidRPr="00382A62" w:rsidRDefault="007605E6" w:rsidP="007D00B2">
            <w:pPr>
              <w:jc w:val="left"/>
              <w:rPr>
                <w:rFonts w:cs="Arial"/>
                <w:b/>
                <w:bCs/>
                <w:szCs w:val="20"/>
              </w:rPr>
            </w:pPr>
            <w:r w:rsidRPr="00382A62">
              <w:rPr>
                <w:rFonts w:cs="Arial"/>
                <w:b/>
                <w:bCs/>
                <w:szCs w:val="20"/>
              </w:rPr>
              <w:t>Sitio Web:</w:t>
            </w:r>
          </w:p>
        </w:tc>
        <w:tc>
          <w:tcPr>
            <w:tcW w:w="6814" w:type="dxa"/>
            <w:vAlign w:val="center"/>
          </w:tcPr>
          <w:p w14:paraId="051161DA" w14:textId="77777777" w:rsidR="007605E6" w:rsidRPr="00382A62" w:rsidRDefault="007605E6" w:rsidP="007D00B2">
            <w:pPr>
              <w:jc w:val="left"/>
              <w:rPr>
                <w:rFonts w:cs="Arial"/>
                <w:szCs w:val="20"/>
              </w:rPr>
            </w:pPr>
            <w:r w:rsidRPr="00382A62">
              <w:rPr>
                <w:rFonts w:cs="Arial"/>
                <w:szCs w:val="20"/>
              </w:rPr>
              <w:t>www.fifco.com</w:t>
            </w:r>
          </w:p>
        </w:tc>
      </w:tr>
      <w:tr w:rsidR="007605E6" w:rsidRPr="00382A62" w14:paraId="01991C32" w14:textId="77777777" w:rsidTr="007D00B2">
        <w:trPr>
          <w:trHeight w:val="479"/>
        </w:trPr>
        <w:tc>
          <w:tcPr>
            <w:tcW w:w="3256" w:type="dxa"/>
            <w:shd w:val="clear" w:color="auto" w:fill="F2F2F2" w:themeFill="background1" w:themeFillShade="F2"/>
            <w:vAlign w:val="center"/>
          </w:tcPr>
          <w:p w14:paraId="6287C1CC" w14:textId="77777777" w:rsidR="007605E6" w:rsidRPr="00382A62" w:rsidRDefault="007605E6" w:rsidP="007D00B2">
            <w:pPr>
              <w:jc w:val="left"/>
              <w:rPr>
                <w:rFonts w:cs="Arial"/>
                <w:b/>
                <w:bCs/>
                <w:szCs w:val="20"/>
              </w:rPr>
            </w:pPr>
            <w:r w:rsidRPr="00382A62">
              <w:rPr>
                <w:rFonts w:cs="Arial"/>
                <w:b/>
                <w:bCs/>
                <w:szCs w:val="20"/>
              </w:rPr>
              <w:t>E-Mail:</w:t>
            </w:r>
          </w:p>
        </w:tc>
        <w:tc>
          <w:tcPr>
            <w:tcW w:w="6814" w:type="dxa"/>
            <w:vAlign w:val="center"/>
          </w:tcPr>
          <w:p w14:paraId="0D228D73" w14:textId="4BC3A16F" w:rsidR="007605E6" w:rsidRPr="00382A62" w:rsidRDefault="00E07F67" w:rsidP="007D00B2">
            <w:pPr>
              <w:tabs>
                <w:tab w:val="left" w:pos="1800"/>
              </w:tabs>
              <w:jc w:val="left"/>
              <w:rPr>
                <w:rFonts w:cs="Arial"/>
                <w:szCs w:val="20"/>
              </w:rPr>
            </w:pPr>
            <w:r w:rsidRPr="00E07F67">
              <w:rPr>
                <w:rFonts w:cs="Arial"/>
                <w:szCs w:val="20"/>
              </w:rPr>
              <w:t>servicioalcliente@fifco.com</w:t>
            </w:r>
          </w:p>
        </w:tc>
      </w:tr>
      <w:tr w:rsidR="007605E6" w:rsidRPr="00382A62" w14:paraId="2C3267B1" w14:textId="77777777" w:rsidTr="007D00B2">
        <w:trPr>
          <w:trHeight w:val="479"/>
        </w:trPr>
        <w:tc>
          <w:tcPr>
            <w:tcW w:w="3256" w:type="dxa"/>
            <w:shd w:val="clear" w:color="auto" w:fill="F2F2F2" w:themeFill="background1" w:themeFillShade="F2"/>
            <w:vAlign w:val="center"/>
          </w:tcPr>
          <w:p w14:paraId="69DB4C1B" w14:textId="77777777" w:rsidR="007605E6" w:rsidRPr="00382A62" w:rsidRDefault="007605E6" w:rsidP="007D00B2">
            <w:pPr>
              <w:jc w:val="left"/>
              <w:rPr>
                <w:rFonts w:cs="Arial"/>
                <w:b/>
                <w:bCs/>
                <w:szCs w:val="20"/>
              </w:rPr>
            </w:pPr>
            <w:r w:rsidRPr="00382A62">
              <w:rPr>
                <w:rFonts w:cs="Arial"/>
                <w:b/>
                <w:bCs/>
                <w:szCs w:val="20"/>
              </w:rPr>
              <w:t>Apartado Postal:</w:t>
            </w:r>
          </w:p>
        </w:tc>
        <w:tc>
          <w:tcPr>
            <w:tcW w:w="6814" w:type="dxa"/>
            <w:vAlign w:val="center"/>
          </w:tcPr>
          <w:p w14:paraId="1D038C84" w14:textId="77777777" w:rsidR="007605E6" w:rsidRPr="00382A62" w:rsidRDefault="007605E6" w:rsidP="007D00B2">
            <w:pPr>
              <w:tabs>
                <w:tab w:val="left" w:pos="1800"/>
              </w:tabs>
              <w:jc w:val="left"/>
              <w:rPr>
                <w:rFonts w:cs="Arial"/>
                <w:szCs w:val="20"/>
              </w:rPr>
            </w:pPr>
            <w:r w:rsidRPr="00382A62">
              <w:rPr>
                <w:rFonts w:cs="Arial"/>
                <w:szCs w:val="20"/>
              </w:rPr>
              <w:t>2046-3000 Heredia</w:t>
            </w:r>
          </w:p>
        </w:tc>
      </w:tr>
      <w:tr w:rsidR="007605E6" w:rsidRPr="00382A62" w14:paraId="0AD0DCC1" w14:textId="77777777" w:rsidTr="007D00B2">
        <w:tc>
          <w:tcPr>
            <w:tcW w:w="3256" w:type="dxa"/>
            <w:shd w:val="clear" w:color="auto" w:fill="F2F2F2" w:themeFill="background1" w:themeFillShade="F2"/>
            <w:vAlign w:val="center"/>
          </w:tcPr>
          <w:p w14:paraId="24C0AC92" w14:textId="77777777" w:rsidR="007605E6" w:rsidRPr="00382A62" w:rsidRDefault="007605E6" w:rsidP="007D00B2">
            <w:pPr>
              <w:jc w:val="left"/>
              <w:rPr>
                <w:rFonts w:cs="Arial"/>
                <w:b/>
                <w:bCs/>
                <w:szCs w:val="20"/>
              </w:rPr>
            </w:pPr>
            <w:r w:rsidRPr="00382A62">
              <w:rPr>
                <w:rFonts w:cs="Arial"/>
                <w:b/>
                <w:bCs/>
                <w:szCs w:val="20"/>
              </w:rPr>
              <w:t>Dirección:</w:t>
            </w:r>
          </w:p>
        </w:tc>
        <w:tc>
          <w:tcPr>
            <w:tcW w:w="6814" w:type="dxa"/>
            <w:vAlign w:val="center"/>
          </w:tcPr>
          <w:p w14:paraId="0EA92A85" w14:textId="77777777" w:rsidR="007605E6" w:rsidRPr="00382A62" w:rsidRDefault="007605E6" w:rsidP="007D00B2">
            <w:pPr>
              <w:jc w:val="left"/>
              <w:rPr>
                <w:rFonts w:cs="Arial"/>
                <w:szCs w:val="20"/>
              </w:rPr>
            </w:pPr>
            <w:r w:rsidRPr="00382A62">
              <w:rPr>
                <w:rFonts w:cs="Arial"/>
                <w:szCs w:val="20"/>
              </w:rPr>
              <w:t>Heredia, Llorente de Flores, 250 metros sur de la entrada noreste de la planta de cerveza</w:t>
            </w:r>
          </w:p>
        </w:tc>
      </w:tr>
    </w:tbl>
    <w:p w14:paraId="09B18094" w14:textId="77777777" w:rsidR="007605E6" w:rsidRPr="00382A62" w:rsidRDefault="007605E6" w:rsidP="007605E6">
      <w:pPr>
        <w:rPr>
          <w:rFonts w:cs="Arial"/>
          <w:szCs w:val="20"/>
        </w:rPr>
      </w:pPr>
    </w:p>
    <w:p w14:paraId="799E6489" w14:textId="77777777" w:rsidR="007605E6" w:rsidRPr="00382A62" w:rsidRDefault="007605E6" w:rsidP="007605E6">
      <w:pPr>
        <w:pStyle w:val="Ttulo3"/>
        <w:numPr>
          <w:ilvl w:val="1"/>
          <w:numId w:val="11"/>
        </w:numPr>
        <w:rPr>
          <w:rFonts w:cs="Arial"/>
          <w:sz w:val="20"/>
          <w:szCs w:val="20"/>
        </w:rPr>
      </w:pPr>
      <w:bookmarkStart w:id="114" w:name="_Toc131092879"/>
      <w:bookmarkStart w:id="115" w:name="_Toc131501080"/>
      <w:bookmarkStart w:id="116" w:name="_Toc169624639"/>
      <w:r w:rsidRPr="00382A62">
        <w:rPr>
          <w:rFonts w:cs="Arial"/>
          <w:sz w:val="20"/>
          <w:szCs w:val="20"/>
        </w:rPr>
        <w:t>Constitución</w:t>
      </w:r>
      <w:bookmarkEnd w:id="114"/>
      <w:bookmarkEnd w:id="115"/>
      <w:bookmarkEnd w:id="116"/>
    </w:p>
    <w:p w14:paraId="4C83D381" w14:textId="77777777" w:rsidR="007605E6" w:rsidRPr="00382A62" w:rsidRDefault="007605E6" w:rsidP="007605E6">
      <w:pPr>
        <w:rPr>
          <w:rFonts w:cs="Arial"/>
          <w:szCs w:val="20"/>
        </w:rPr>
      </w:pPr>
      <w:r w:rsidRPr="00382A62">
        <w:rPr>
          <w:rFonts w:cs="Arial"/>
          <w:szCs w:val="20"/>
        </w:rPr>
        <w:t>Florida Ice and Farm Company, Sociedad Anónima, se encuentra inscrita en Costa Rica desde el día 05 de agosto de 1908, en el tomo 618, folio 219 y asiento 303 de la Sección Mercantil del Registro Público. Su número de cédula jurídica es 3-101-000784-37 y su objeto social principal es la explotación de empresas industriales o agrícolas de cualquier naturaleza. Sin embargo, también puede ejercer actividades comerciales de cualquier tipo, así como celebrar contratos, comprar, vender, arrendar, pignorar, hipotecar, y en cualquier otra forma gravar o enajenar toda clase de bienes muebles e inmuebles. Es parte de su objeto social comprar o, de cualquier otra forma, adquirir, ceder o vender toda clase de valores, acciones comerciales, licencias, derechos o privilegios convenientes o útiles a la buena marcha de la empresa. De este modo, puede formar parte de otras sociedades, y rendir cualquier tipo de fianzas a favor de socios o terceros, previa autorización de la Junta Directiva y cuando en virtud de ello la Compañía reciba algún tipo de beneficio.</w:t>
      </w:r>
    </w:p>
    <w:p w14:paraId="510F32FB" w14:textId="5CD2E6AA" w:rsidR="003232D9" w:rsidRPr="00382A62" w:rsidRDefault="007605E6" w:rsidP="007605E6">
      <w:pPr>
        <w:rPr>
          <w:rFonts w:cs="Arial"/>
          <w:szCs w:val="20"/>
        </w:rPr>
      </w:pPr>
      <w:r w:rsidRPr="00382A62">
        <w:rPr>
          <w:rFonts w:cs="Arial"/>
          <w:szCs w:val="20"/>
        </w:rPr>
        <w:t>Los accionistas de FIFCO tienen todos los derechos que les otorga el Código de Comercio de Costa Rica y sus reformas.</w:t>
      </w:r>
    </w:p>
    <w:p w14:paraId="117B1A7A" w14:textId="77777777" w:rsidR="007605E6" w:rsidRPr="00382A62" w:rsidRDefault="007605E6" w:rsidP="007605E6">
      <w:pPr>
        <w:pStyle w:val="Ttulo3"/>
        <w:numPr>
          <w:ilvl w:val="1"/>
          <w:numId w:val="11"/>
        </w:numPr>
        <w:rPr>
          <w:rFonts w:cs="Arial"/>
          <w:sz w:val="20"/>
          <w:szCs w:val="20"/>
        </w:rPr>
      </w:pPr>
      <w:bookmarkStart w:id="117" w:name="_Toc131092880"/>
      <w:bookmarkStart w:id="118" w:name="_Toc131501081"/>
      <w:bookmarkStart w:id="119" w:name="_Toc169624640"/>
      <w:r w:rsidRPr="00382A62">
        <w:rPr>
          <w:rFonts w:cs="Arial"/>
          <w:sz w:val="20"/>
          <w:szCs w:val="20"/>
        </w:rPr>
        <w:t>Breve reseña histórica</w:t>
      </w:r>
      <w:bookmarkEnd w:id="117"/>
      <w:bookmarkEnd w:id="118"/>
      <w:bookmarkEnd w:id="119"/>
    </w:p>
    <w:p w14:paraId="3AB37C7C" w14:textId="77777777" w:rsidR="007605E6" w:rsidRPr="00382A62" w:rsidRDefault="007605E6" w:rsidP="007605E6">
      <w:pPr>
        <w:rPr>
          <w:rFonts w:cs="Arial"/>
          <w:szCs w:val="20"/>
        </w:rPr>
      </w:pPr>
      <w:r w:rsidRPr="00382A62">
        <w:rPr>
          <w:rFonts w:cs="Arial"/>
          <w:szCs w:val="20"/>
        </w:rPr>
        <w:t>En 1908, un grupo de empresarios decidió constituir una empresa con el nombre de Florida Ice and Farm Company, Sociedad Anónima. En 1912, dicha compañía incursionó en la actividad cervecera del país al adquirir la Cervecería Traube, que fue la pionera en el arte cervecero en Costa Rica.</w:t>
      </w:r>
    </w:p>
    <w:p w14:paraId="12BB6370" w14:textId="77777777" w:rsidR="007605E6" w:rsidRPr="00382A62" w:rsidRDefault="007605E6" w:rsidP="007605E6">
      <w:pPr>
        <w:rPr>
          <w:rFonts w:cs="Arial"/>
          <w:szCs w:val="20"/>
        </w:rPr>
      </w:pPr>
      <w:r w:rsidRPr="00382A62">
        <w:rPr>
          <w:rFonts w:cs="Arial"/>
          <w:szCs w:val="20"/>
        </w:rPr>
        <w:t>En 1957, se adquiere la Cervecería Ortega, otra de las empresas costarricenses dedicadas a la producción de este tipo de bebida.</w:t>
      </w:r>
    </w:p>
    <w:p w14:paraId="39E2709E" w14:textId="77777777" w:rsidR="007605E6" w:rsidRPr="00382A62" w:rsidRDefault="007605E6" w:rsidP="007605E6">
      <w:pPr>
        <w:rPr>
          <w:rFonts w:cs="Arial"/>
          <w:szCs w:val="20"/>
        </w:rPr>
      </w:pPr>
      <w:r w:rsidRPr="00382A62">
        <w:rPr>
          <w:rFonts w:cs="Arial"/>
          <w:szCs w:val="20"/>
        </w:rPr>
        <w:lastRenderedPageBreak/>
        <w:t xml:space="preserve">En 1966, se inaugura la planta denominada “Cervecería Costa Rica”, la cual ha sido desde entonces la principal empresa de este tipo en Costa Rica. </w:t>
      </w:r>
    </w:p>
    <w:p w14:paraId="3F072854" w14:textId="77777777" w:rsidR="007605E6" w:rsidRPr="00382A62" w:rsidRDefault="007605E6" w:rsidP="007605E6">
      <w:pPr>
        <w:rPr>
          <w:rFonts w:cs="Arial"/>
          <w:szCs w:val="20"/>
        </w:rPr>
      </w:pPr>
      <w:r w:rsidRPr="00382A62">
        <w:rPr>
          <w:rFonts w:cs="Arial"/>
          <w:szCs w:val="20"/>
        </w:rPr>
        <w:t>Posteriormente, a finales de 1977, se adquirió la participación mayoritaria de Cervecería Tropical, S.A.</w:t>
      </w:r>
    </w:p>
    <w:p w14:paraId="10A2EA92" w14:textId="77777777" w:rsidR="007605E6" w:rsidRPr="00382A62" w:rsidRDefault="007605E6" w:rsidP="007605E6">
      <w:pPr>
        <w:rPr>
          <w:rFonts w:cs="Arial"/>
          <w:szCs w:val="20"/>
        </w:rPr>
      </w:pPr>
      <w:r w:rsidRPr="00382A62">
        <w:rPr>
          <w:rFonts w:cs="Arial"/>
          <w:szCs w:val="20"/>
        </w:rPr>
        <w:t>El 09 de junio de 1998, en las Asambleas Extraordinarias de Accionistas de Cervecería Tropical S.A. y de FIFCO, se aprobó el proyecto de fusión de ambas empresas, prevaleciendo FIFCO.</w:t>
      </w:r>
    </w:p>
    <w:p w14:paraId="550DA487" w14:textId="7B240E7B" w:rsidR="007605E6" w:rsidRPr="00382A62" w:rsidRDefault="007605E6" w:rsidP="007605E6">
      <w:pPr>
        <w:rPr>
          <w:rFonts w:cs="Arial"/>
          <w:szCs w:val="20"/>
        </w:rPr>
      </w:pPr>
      <w:r w:rsidRPr="00382A62">
        <w:rPr>
          <w:rFonts w:cs="Arial"/>
          <w:szCs w:val="20"/>
        </w:rPr>
        <w:t>El 1 de agosto de 2006, se concluye la adquisición del 100% de Industrias Alimenticias Kern’s de Guatemala y su subsidiaria Industrias Alimenticias Kern’s El Salvador, S.A. de C.V.</w:t>
      </w:r>
    </w:p>
    <w:p w14:paraId="076D9F72" w14:textId="77777777" w:rsidR="007605E6" w:rsidRPr="00382A62" w:rsidRDefault="007605E6" w:rsidP="007605E6">
      <w:pPr>
        <w:rPr>
          <w:rFonts w:cs="Arial"/>
          <w:szCs w:val="20"/>
        </w:rPr>
      </w:pPr>
      <w:r w:rsidRPr="00382A62">
        <w:rPr>
          <w:rFonts w:cs="Arial"/>
          <w:szCs w:val="20"/>
        </w:rPr>
        <w:t>En mayo de 2007, se adquiere el 100% de la Embotelladora Centroamericana S.R.L. y Distribuidora Centroamericana de Bebidas DCB, Ltda, empresas que tienen la franquicia para producir y distribuir las bebidas de PepsiCo.</w:t>
      </w:r>
    </w:p>
    <w:p w14:paraId="138A8812" w14:textId="5F1FCF62" w:rsidR="007605E6" w:rsidRPr="00382A62" w:rsidRDefault="007605E6" w:rsidP="007605E6">
      <w:pPr>
        <w:rPr>
          <w:rFonts w:cs="Arial"/>
          <w:szCs w:val="20"/>
        </w:rPr>
      </w:pPr>
      <w:r w:rsidRPr="00382A62">
        <w:rPr>
          <w:rFonts w:cs="Arial"/>
          <w:szCs w:val="20"/>
        </w:rPr>
        <w:t xml:space="preserve">En mayo de 2007, se concluye la adquisición del 100% de Reserva Conchal S.A., Desarrollos Inmobiliarios Guanacaste, Inmobiliaria Conchal del Pacífico S.A. e Inversiones 1346 S.A., empresas dedicadas al sector turístico, a través de sendas transacciones de compra con ambos socios: SABMiller y Sol Meliá. Con esta adquisición, FIFCO ingresa en una nueva actividad de manera directa pasando de socio a propietario de un proyecto Turístico – Inmobiliario. </w:t>
      </w:r>
    </w:p>
    <w:p w14:paraId="4492E218" w14:textId="6263CE59" w:rsidR="007605E6" w:rsidRPr="00382A62" w:rsidRDefault="007605E6" w:rsidP="007605E6">
      <w:pPr>
        <w:rPr>
          <w:rFonts w:cs="Arial"/>
          <w:szCs w:val="20"/>
        </w:rPr>
      </w:pPr>
      <w:r w:rsidRPr="00382A62">
        <w:rPr>
          <w:rFonts w:cs="Arial"/>
          <w:szCs w:val="20"/>
        </w:rPr>
        <w:t>En el mes de octubre de 2008, la Compañía decidió fusionar su estrategia de negocios con la de responsabilidad social para convertirse en una de las primeras empresas a nivel mundial en medir su éxito en las tres dimensiones del desarrollo sostenible: económica, social y ambiental. Ser una compañía de Triple Utilidad significa que el éxito se mide de forma integral, no solo a través de logros económicos, sino también mediante la creación de valor en los ámbitos social y ambiental.</w:t>
      </w:r>
    </w:p>
    <w:p w14:paraId="4F78B378" w14:textId="77777777" w:rsidR="00132601" w:rsidRPr="00382A62" w:rsidRDefault="00132601" w:rsidP="00132601">
      <w:pPr>
        <w:rPr>
          <w:rFonts w:cs="Arial"/>
          <w:szCs w:val="20"/>
        </w:rPr>
      </w:pPr>
      <w:r w:rsidRPr="00382A62">
        <w:rPr>
          <w:rFonts w:cs="Arial"/>
          <w:szCs w:val="20"/>
        </w:rPr>
        <w:t>El 01 de octubre de 2010, se concluye la adquisición del 100% de HI Cuveé S.A, y Vinum Aura S.A., empresas distribuidoras de varias marcas de vinos.</w:t>
      </w:r>
    </w:p>
    <w:p w14:paraId="51F89E77" w14:textId="77777777" w:rsidR="007605E6" w:rsidRPr="00382A62" w:rsidRDefault="007605E6" w:rsidP="007605E6">
      <w:pPr>
        <w:rPr>
          <w:rFonts w:cs="Arial"/>
          <w:szCs w:val="20"/>
        </w:rPr>
      </w:pPr>
      <w:r w:rsidRPr="00382A62">
        <w:rPr>
          <w:rFonts w:cs="Arial"/>
          <w:szCs w:val="20"/>
        </w:rPr>
        <w:t>El 1 de mayo de 2011, FIFCO firmó un contrato de operación para que el hotel “Westin Playa Conchal Resort and Spa”, que es de su propiedad, fuera operado por el grupo Westin Hotel Management, LP, empresa subsidiaria de Starwood Hotels &amp; Resorts Worldwide, Inc.</w:t>
      </w:r>
    </w:p>
    <w:p w14:paraId="4F2E5805" w14:textId="01637AF8" w:rsidR="007605E6" w:rsidRPr="00382A62" w:rsidRDefault="007605E6" w:rsidP="007605E6">
      <w:pPr>
        <w:rPr>
          <w:rFonts w:cs="Arial"/>
          <w:szCs w:val="20"/>
        </w:rPr>
      </w:pPr>
      <w:r w:rsidRPr="00382A62">
        <w:rPr>
          <w:rFonts w:cs="Arial"/>
          <w:szCs w:val="20"/>
        </w:rPr>
        <w:t>El 20 de diciembre de 2011, FIFCO adquirió Corporación Musmanni, una compañía 100% costarricense dedicada a la producción de productos de panadería y repostería.</w:t>
      </w:r>
    </w:p>
    <w:p w14:paraId="3FF392DB" w14:textId="77777777" w:rsidR="007605E6" w:rsidRPr="00382A62" w:rsidRDefault="007605E6" w:rsidP="007605E6">
      <w:pPr>
        <w:rPr>
          <w:rFonts w:cs="Arial"/>
          <w:szCs w:val="20"/>
        </w:rPr>
      </w:pPr>
      <w:r w:rsidRPr="00382A62">
        <w:rPr>
          <w:rFonts w:cs="Arial"/>
          <w:szCs w:val="20"/>
        </w:rPr>
        <w:t>Con esta transacción, la Compañía buscó diversificar su negocio e incursionar en una nueva categoría en su portafolio. Asimismo, adquirió los derechos de propiedad intelectual e industrial sobre la marca MUSMANNI.</w:t>
      </w:r>
    </w:p>
    <w:p w14:paraId="7E55A9A1" w14:textId="77777777" w:rsidR="007605E6" w:rsidRPr="00382A62" w:rsidRDefault="007605E6" w:rsidP="007605E6">
      <w:pPr>
        <w:rPr>
          <w:rFonts w:cs="Arial"/>
          <w:szCs w:val="20"/>
        </w:rPr>
      </w:pPr>
      <w:r w:rsidRPr="00382A62">
        <w:rPr>
          <w:rFonts w:cs="Arial"/>
          <w:szCs w:val="20"/>
        </w:rPr>
        <w:t>El 15 de junio de 2012, Distribuidora La Florida y DIAGEO de Costa Rica S.A. suscribieron un contrato, mediante el cual se designó a Distribuidora La Florida S.A. como el distribuidor exclusivo en el país del portafolio de productos importados por DIAGEO.</w:t>
      </w:r>
    </w:p>
    <w:p w14:paraId="37599008" w14:textId="77777777" w:rsidR="007605E6" w:rsidRPr="00382A62" w:rsidRDefault="007605E6" w:rsidP="007605E6">
      <w:pPr>
        <w:rPr>
          <w:rFonts w:cs="Arial"/>
          <w:szCs w:val="20"/>
        </w:rPr>
      </w:pPr>
      <w:r w:rsidRPr="00382A62">
        <w:rPr>
          <w:rFonts w:cs="Arial"/>
          <w:szCs w:val="20"/>
        </w:rPr>
        <w:lastRenderedPageBreak/>
        <w:t>El 26 de octubre de 2012, la Compañía a través de Cervecería Costa Rica concretó la negociación de compraventa del 100% de la empresa estadounidense North American Breweries Holding LLC y sus subsidiarias (NAB). Al momento de la compra se contaba con una planta de producción en el Estado de Nueva York y otras tres cervecerías ubicadas en Oregon, California y Vermont.</w:t>
      </w:r>
    </w:p>
    <w:p w14:paraId="01F75734" w14:textId="77777777" w:rsidR="007605E6" w:rsidRPr="00382A62" w:rsidRDefault="007605E6" w:rsidP="007605E6">
      <w:pPr>
        <w:rPr>
          <w:rFonts w:cs="Arial"/>
          <w:szCs w:val="20"/>
        </w:rPr>
      </w:pPr>
      <w:r w:rsidRPr="00382A62">
        <w:rPr>
          <w:rFonts w:cs="Arial"/>
          <w:szCs w:val="20"/>
        </w:rPr>
        <w:t>En el 2014, se incursionó en el mercado de la cerveza artesanal con la creación de la empresa La Micro Brewing Company, a través de la marca Domingo 7, aprovechando todos los conocimientos adquiridos de la subsidiaria NAB.</w:t>
      </w:r>
    </w:p>
    <w:p w14:paraId="08D926A2" w14:textId="77777777" w:rsidR="007605E6" w:rsidRPr="00382A62" w:rsidRDefault="007605E6" w:rsidP="007605E6">
      <w:pPr>
        <w:rPr>
          <w:rFonts w:cs="Arial"/>
          <w:szCs w:val="20"/>
        </w:rPr>
      </w:pPr>
      <w:r w:rsidRPr="00382A62">
        <w:rPr>
          <w:rFonts w:cs="Arial"/>
          <w:szCs w:val="20"/>
        </w:rPr>
        <w:t>En febrero de 2015, se da la venta de la participación de FIFCO en Envases del Istmo, S.A. (ENDELIS) y se define un contrato de suplencia a largo plazo.</w:t>
      </w:r>
    </w:p>
    <w:p w14:paraId="0DABC5EF" w14:textId="77777777" w:rsidR="007605E6" w:rsidRPr="00382A62" w:rsidRDefault="007605E6" w:rsidP="007605E6">
      <w:pPr>
        <w:rPr>
          <w:rFonts w:cs="Arial"/>
          <w:szCs w:val="20"/>
        </w:rPr>
      </w:pPr>
      <w:r w:rsidRPr="00382A62">
        <w:rPr>
          <w:rFonts w:cs="Arial"/>
          <w:szCs w:val="20"/>
        </w:rPr>
        <w:t>En el mes de septiembre de 2015, se da el cierre de operación de la planta de producción y el restaurante Ale House de North American Breweries en Berkeley, California, como una manera de lograr una mayor eficiencia en la cadena de producción. Como parte de este proceso, se honran todos los compromisos adquiridos con los colaboradores, proveedores y autoridades de gobierno, informando oportunamente las implicaciones respectivas que conlleva el cierre. Adicionalmente, se da una reubicación de ciertos activos productivos en la planta de Portland, Oregon.</w:t>
      </w:r>
    </w:p>
    <w:p w14:paraId="11D52B53" w14:textId="77777777" w:rsidR="007605E6" w:rsidRPr="00382A62" w:rsidRDefault="007605E6" w:rsidP="007605E6">
      <w:pPr>
        <w:rPr>
          <w:rFonts w:cs="Arial"/>
          <w:szCs w:val="20"/>
        </w:rPr>
      </w:pPr>
      <w:r w:rsidRPr="00382A62">
        <w:rPr>
          <w:rFonts w:cs="Arial"/>
          <w:szCs w:val="20"/>
        </w:rPr>
        <w:t>Durante el 2017 se inicia con la construcción del primer Hotel W Costa Rica, el cual abre sus puertas a finales de noviembre de 2018, este constituye una propuesta vibrante y moderna que energiza la escena turística de la zona de Guanacaste.</w:t>
      </w:r>
    </w:p>
    <w:p w14:paraId="39EBBAA6" w14:textId="77777777" w:rsidR="007605E6" w:rsidRPr="00382A62" w:rsidRDefault="007605E6" w:rsidP="007605E6">
      <w:pPr>
        <w:rPr>
          <w:rFonts w:cs="Arial"/>
          <w:szCs w:val="20"/>
        </w:rPr>
      </w:pPr>
      <w:r w:rsidRPr="00382A62">
        <w:rPr>
          <w:rFonts w:cs="Arial"/>
          <w:szCs w:val="20"/>
        </w:rPr>
        <w:t>En julio de 2019, finalizó un proceso de fusión de sociedades filiales a Cervecería de Costa Rica S.A., en donde prevaleció Distribuidora La Florida S.A., lo cual permitió disminuir la complejidad en varios procesos administrativos y transacciones operativas. El detalle se podrá observar en la tabla 35 de este documento.</w:t>
      </w:r>
    </w:p>
    <w:p w14:paraId="236449EF" w14:textId="77777777" w:rsidR="007605E6" w:rsidRPr="00382A62" w:rsidRDefault="007605E6" w:rsidP="007605E6">
      <w:pPr>
        <w:rPr>
          <w:rFonts w:cs="Arial"/>
          <w:szCs w:val="20"/>
        </w:rPr>
      </w:pPr>
      <w:r w:rsidRPr="00382A62">
        <w:rPr>
          <w:rFonts w:cs="Arial"/>
          <w:szCs w:val="20"/>
          <w:shd w:val="clear" w:color="auto" w:fill="FFFFFF"/>
        </w:rPr>
        <w:t>En 2020, FIFCO incursionó con un nuevo modelo de negocios en México, con una estrategia liviana en activos que tiene como punta de lanza el desarrollo y comercialización en ese país de la marca Seagram's Escapes.</w:t>
      </w:r>
    </w:p>
    <w:p w14:paraId="59752CE4" w14:textId="77777777" w:rsidR="007605E6" w:rsidRPr="00382A62" w:rsidRDefault="007605E6" w:rsidP="007605E6">
      <w:pPr>
        <w:rPr>
          <w:rFonts w:cs="Arial"/>
          <w:szCs w:val="20"/>
        </w:rPr>
      </w:pPr>
      <w:r w:rsidRPr="00382A62">
        <w:rPr>
          <w:rFonts w:cs="Arial"/>
          <w:szCs w:val="20"/>
        </w:rPr>
        <w:t xml:space="preserve">En octubre 2022 se fusionaron las empresas Premezclas Industriales para Panadería S.A y COMAPAN S.A. prevaleciendo esta última como parte de una estrategia para optimizar el portafolio en esta división de panadería y tiendas de conveniencia.  </w:t>
      </w:r>
    </w:p>
    <w:p w14:paraId="7F480336" w14:textId="77777777" w:rsidR="007605E6" w:rsidRPr="00382A62" w:rsidRDefault="007605E6" w:rsidP="007605E6">
      <w:pPr>
        <w:rPr>
          <w:rFonts w:cs="Arial"/>
          <w:szCs w:val="20"/>
        </w:rPr>
      </w:pPr>
      <w:r w:rsidRPr="00382A62">
        <w:rPr>
          <w:rFonts w:cs="Arial"/>
          <w:szCs w:val="20"/>
        </w:rPr>
        <w:t>En 2022 también se anunció que la empresa social Nutrivida, fundada en 2014, continuará su operación bajo una nueva administración. FIFCO concentrará sus esfuerzos y recursos en la atención de sus retos apremiantes como las agendas de diversidad, equidad e inclusión, la disminución de la pobreza multidimensional a lo interno de la compañía, la agenda de envases y empaques, cambio climático y promoción de consumo inteligente de alcohol.</w:t>
      </w:r>
    </w:p>
    <w:p w14:paraId="08B02D66" w14:textId="77777777" w:rsidR="007605E6" w:rsidRPr="00382A62" w:rsidRDefault="007605E6" w:rsidP="007605E6">
      <w:pPr>
        <w:rPr>
          <w:rFonts w:cs="Arial"/>
          <w:szCs w:val="20"/>
        </w:rPr>
      </w:pPr>
      <w:r w:rsidRPr="00382A62">
        <w:rPr>
          <w:rFonts w:eastAsia="Arial" w:cs="Arial"/>
          <w:szCs w:val="20"/>
        </w:rPr>
        <w:t>Durante el 2022 FIFCO presentó sus nuevas metas en sostenibilidad basada en los ejes Ambiental, Social y de Gobernanza.  Nueve metas son las que guiarán el trabajo y objetivos estratégicos de FIFCO en su camino sostenible. Estas metas y el trabajo diario impactan todos los días en 10 Objetivos de Desarrollo Sostenible.</w:t>
      </w:r>
    </w:p>
    <w:p w14:paraId="69CA626A" w14:textId="77777777" w:rsidR="007605E6" w:rsidRPr="00382A62" w:rsidRDefault="007605E6" w:rsidP="007605E6">
      <w:pPr>
        <w:rPr>
          <w:rFonts w:eastAsia="Arial" w:cs="Arial"/>
          <w:szCs w:val="20"/>
        </w:rPr>
      </w:pPr>
    </w:p>
    <w:p w14:paraId="142E7DD6" w14:textId="77777777" w:rsidR="007605E6" w:rsidRPr="00382A62" w:rsidRDefault="007605E6" w:rsidP="007605E6">
      <w:pPr>
        <w:pStyle w:val="Ttulo3"/>
        <w:numPr>
          <w:ilvl w:val="1"/>
          <w:numId w:val="11"/>
        </w:numPr>
        <w:rPr>
          <w:rFonts w:cs="Arial"/>
          <w:sz w:val="20"/>
          <w:szCs w:val="20"/>
        </w:rPr>
      </w:pPr>
      <w:bookmarkStart w:id="120" w:name="_Toc131092881"/>
      <w:bookmarkStart w:id="121" w:name="_Toc131501082"/>
      <w:bookmarkStart w:id="122" w:name="_Toc169624641"/>
      <w:r w:rsidRPr="00382A62">
        <w:rPr>
          <w:rFonts w:cs="Arial"/>
          <w:sz w:val="20"/>
          <w:szCs w:val="20"/>
        </w:rPr>
        <w:t>Actividad</w:t>
      </w:r>
      <w:bookmarkEnd w:id="120"/>
      <w:bookmarkEnd w:id="121"/>
      <w:bookmarkEnd w:id="122"/>
    </w:p>
    <w:p w14:paraId="569E41D9" w14:textId="77777777" w:rsidR="007605E6" w:rsidRPr="00382A62" w:rsidRDefault="007605E6" w:rsidP="007605E6">
      <w:pPr>
        <w:rPr>
          <w:rFonts w:cs="Arial"/>
          <w:szCs w:val="20"/>
        </w:rPr>
      </w:pPr>
      <w:r w:rsidRPr="00382A62">
        <w:rPr>
          <w:rFonts w:cs="Arial"/>
          <w:szCs w:val="20"/>
        </w:rPr>
        <w:t>La principal actividad de la Compañía es la elaboración y comercialización de bebidas a través de marcas propias, y en menor proporción, marcas bajo licencia. Produce y distribuye cerveza, bebidas alcohólicas saborizadas, bebidas carbonatadas, bebidas de frutas, bebidas energizantes y té. La Compañía también elabora y comercializa productos alimenticios bajo marcas propias y realiza venta de artículos de conveniencia. Además, distribuye bajo licencia marcas de vino y otras bebidas alcohólicas y opera tiendas y restaurantes propios.</w:t>
      </w:r>
    </w:p>
    <w:p w14:paraId="10510A23" w14:textId="77777777" w:rsidR="007605E6" w:rsidRPr="00382A62" w:rsidRDefault="007605E6" w:rsidP="007605E6">
      <w:pPr>
        <w:rPr>
          <w:rFonts w:cs="Arial"/>
          <w:szCs w:val="20"/>
        </w:rPr>
      </w:pPr>
      <w:r w:rsidRPr="00382A62">
        <w:rPr>
          <w:rFonts w:cs="Arial"/>
          <w:szCs w:val="20"/>
        </w:rPr>
        <w:t>Adicionalmente, la Compañía mantiene inversiones en el sector inmobiliario, primordialmente con actividades relacionadas al desarrollo del negocio hotelero mediante contratos de gestión con una empresa de reconocida experiencia en la industria hotelera a nivel internacional, y al desarrollo de producto residencial turístico.</w:t>
      </w:r>
    </w:p>
    <w:p w14:paraId="0FFE8E33" w14:textId="66A5514A" w:rsidR="007605E6" w:rsidRPr="00382A62" w:rsidRDefault="007605E6" w:rsidP="007605E6">
      <w:pPr>
        <w:rPr>
          <w:rFonts w:cs="Arial"/>
          <w:szCs w:val="20"/>
        </w:rPr>
      </w:pPr>
      <w:r w:rsidRPr="00382A62">
        <w:rPr>
          <w:rFonts w:cs="Arial"/>
          <w:szCs w:val="20"/>
        </w:rPr>
        <w:t xml:space="preserve">En la actualidad, la Compañía cuenta con más de 1500 productos, entre ellos: cerveza, vinos, licores, bebidas alcohólicas saborizadas, así como, agua embotellada, jugos, refrescos, néctares, tés, bebidas carbonatadas, bebidas energéticas, frijoles, conservas, salsa de tomate y productos de panadería. Su sede se encuentra en Costa Rica y cuenta con operaciones en Guatemala, El Salvador, Honduras, México y Estados Unidos. Se cuenta con 5 plantas de producción y 13 centros de distribución. La cadena de valor está compuesta por </w:t>
      </w:r>
      <w:r w:rsidR="00466BD5" w:rsidRPr="00382A62">
        <w:rPr>
          <w:rFonts w:cs="Arial"/>
          <w:szCs w:val="20"/>
        </w:rPr>
        <w:t>3,471</w:t>
      </w:r>
      <w:r w:rsidRPr="00382A62">
        <w:rPr>
          <w:rFonts w:cs="Arial"/>
          <w:szCs w:val="20"/>
        </w:rPr>
        <w:t>proveedores locales e internacionales. Se exportan los productos a 18 países alrededor del mundo (incluido Costa Rica). A continuación, se presenta la distribución de las ventas por zona geográfica:</w:t>
      </w:r>
    </w:p>
    <w:p w14:paraId="33A1F7D2" w14:textId="5986823F" w:rsidR="007605E6" w:rsidRPr="00382A62" w:rsidRDefault="007605E6" w:rsidP="007605E6">
      <w:pPr>
        <w:pStyle w:val="Descripcin"/>
        <w:rPr>
          <w:rFonts w:cs="Arial"/>
          <w:szCs w:val="20"/>
        </w:rPr>
      </w:pPr>
      <w:bookmarkStart w:id="123" w:name="_Toc169624725"/>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29</w:t>
      </w:r>
      <w:r w:rsidR="00423C23" w:rsidRPr="00382A62">
        <w:rPr>
          <w:rFonts w:cs="Arial"/>
          <w:noProof/>
          <w:szCs w:val="20"/>
        </w:rPr>
        <w:fldChar w:fldCharType="end"/>
      </w:r>
      <w:r w:rsidRPr="00382A62">
        <w:rPr>
          <w:rFonts w:cs="Arial"/>
          <w:szCs w:val="20"/>
        </w:rPr>
        <w:t xml:space="preserve"> - Ventas por zona geográfica</w:t>
      </w:r>
      <w:bookmarkEnd w:id="123"/>
    </w:p>
    <w:tbl>
      <w:tblPr>
        <w:tblW w:w="570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579"/>
        <w:gridCol w:w="1565"/>
        <w:gridCol w:w="1565"/>
      </w:tblGrid>
      <w:tr w:rsidR="00A445D8" w:rsidRPr="00382A62" w14:paraId="2B3839EE" w14:textId="77777777" w:rsidTr="00A445D8">
        <w:trPr>
          <w:trHeight w:val="547"/>
          <w:jc w:val="center"/>
        </w:trPr>
        <w:tc>
          <w:tcPr>
            <w:tcW w:w="2579" w:type="dxa"/>
            <w:shd w:val="clear" w:color="auto" w:fill="FFFFFF" w:themeFill="background1"/>
            <w:vAlign w:val="center"/>
            <w:hideMark/>
          </w:tcPr>
          <w:p w14:paraId="67ACFD17" w14:textId="77777777" w:rsidR="00A445D8" w:rsidRPr="00382A62" w:rsidRDefault="00A445D8" w:rsidP="00A445D8">
            <w:pPr>
              <w:spacing w:line="276" w:lineRule="auto"/>
              <w:contextualSpacing/>
              <w:jc w:val="center"/>
              <w:rPr>
                <w:rFonts w:cs="Arial"/>
                <w:b/>
                <w:szCs w:val="20"/>
              </w:rPr>
            </w:pPr>
            <w:r w:rsidRPr="00382A62">
              <w:rPr>
                <w:rFonts w:cs="Arial"/>
                <w:b/>
                <w:szCs w:val="20"/>
              </w:rPr>
              <w:t>Zona Geográfica</w:t>
            </w:r>
          </w:p>
        </w:tc>
        <w:tc>
          <w:tcPr>
            <w:tcW w:w="1565" w:type="dxa"/>
            <w:shd w:val="clear" w:color="auto" w:fill="FFFFFF" w:themeFill="background1"/>
            <w:vAlign w:val="center"/>
          </w:tcPr>
          <w:p w14:paraId="5381E2E5" w14:textId="16AC78CC" w:rsidR="00A445D8" w:rsidRPr="00382A62" w:rsidRDefault="00A445D8" w:rsidP="00A445D8">
            <w:pPr>
              <w:spacing w:line="276" w:lineRule="auto"/>
              <w:contextualSpacing/>
              <w:jc w:val="center"/>
              <w:rPr>
                <w:rFonts w:cs="Arial"/>
                <w:b/>
                <w:bCs/>
                <w:szCs w:val="20"/>
              </w:rPr>
            </w:pPr>
            <w:r w:rsidRPr="00382A62">
              <w:rPr>
                <w:rFonts w:cs="Arial"/>
                <w:b/>
                <w:bCs/>
                <w:szCs w:val="20"/>
              </w:rPr>
              <w:t>2022</w:t>
            </w:r>
          </w:p>
        </w:tc>
        <w:tc>
          <w:tcPr>
            <w:tcW w:w="1565" w:type="dxa"/>
            <w:shd w:val="clear" w:color="auto" w:fill="FFFFFF" w:themeFill="background1"/>
            <w:vAlign w:val="center"/>
            <w:hideMark/>
          </w:tcPr>
          <w:p w14:paraId="72765855" w14:textId="128FFD11" w:rsidR="00A445D8" w:rsidRPr="00382A62" w:rsidRDefault="00A445D8" w:rsidP="00A445D8">
            <w:pPr>
              <w:spacing w:line="276" w:lineRule="auto"/>
              <w:contextualSpacing/>
              <w:jc w:val="center"/>
              <w:rPr>
                <w:rFonts w:cs="Arial"/>
                <w:b/>
                <w:bCs/>
                <w:szCs w:val="20"/>
              </w:rPr>
            </w:pPr>
            <w:r w:rsidRPr="00382A62">
              <w:rPr>
                <w:rFonts w:cs="Arial"/>
                <w:b/>
                <w:bCs/>
                <w:szCs w:val="20"/>
              </w:rPr>
              <w:t>2023</w:t>
            </w:r>
          </w:p>
        </w:tc>
      </w:tr>
      <w:tr w:rsidR="00A445D8" w:rsidRPr="00382A62" w14:paraId="6335B9F0" w14:textId="77777777" w:rsidTr="00A445D8">
        <w:trPr>
          <w:trHeight w:val="356"/>
          <w:jc w:val="center"/>
        </w:trPr>
        <w:tc>
          <w:tcPr>
            <w:tcW w:w="2579" w:type="dxa"/>
            <w:shd w:val="clear" w:color="auto" w:fill="FFFFFF" w:themeFill="background1"/>
            <w:noWrap/>
            <w:vAlign w:val="center"/>
            <w:hideMark/>
          </w:tcPr>
          <w:p w14:paraId="2713248C" w14:textId="77777777" w:rsidR="00A445D8" w:rsidRPr="00382A62" w:rsidRDefault="00A445D8" w:rsidP="00A445D8">
            <w:pPr>
              <w:spacing w:line="276" w:lineRule="auto"/>
              <w:contextualSpacing/>
              <w:jc w:val="left"/>
              <w:rPr>
                <w:rFonts w:cs="Arial"/>
                <w:szCs w:val="20"/>
              </w:rPr>
            </w:pPr>
            <w:r w:rsidRPr="00382A62">
              <w:rPr>
                <w:rFonts w:cs="Arial"/>
                <w:szCs w:val="20"/>
              </w:rPr>
              <w:t>Costa Rica</w:t>
            </w:r>
          </w:p>
        </w:tc>
        <w:tc>
          <w:tcPr>
            <w:tcW w:w="1565" w:type="dxa"/>
            <w:shd w:val="clear" w:color="auto" w:fill="FFFFFF" w:themeFill="background1"/>
          </w:tcPr>
          <w:p w14:paraId="5B2A3602" w14:textId="71A2F615" w:rsidR="00A445D8" w:rsidRPr="00382A62" w:rsidRDefault="00A445D8" w:rsidP="00A445D8">
            <w:pPr>
              <w:spacing w:line="276" w:lineRule="auto"/>
              <w:contextualSpacing/>
              <w:jc w:val="center"/>
              <w:rPr>
                <w:rFonts w:cs="Arial"/>
                <w:szCs w:val="20"/>
              </w:rPr>
            </w:pPr>
            <w:r w:rsidRPr="00382A62">
              <w:rPr>
                <w:rFonts w:cs="Arial"/>
                <w:szCs w:val="20"/>
              </w:rPr>
              <w:t>59,3%</w:t>
            </w:r>
          </w:p>
        </w:tc>
        <w:tc>
          <w:tcPr>
            <w:tcW w:w="1565" w:type="dxa"/>
            <w:shd w:val="clear" w:color="auto" w:fill="FFFFFF" w:themeFill="background1"/>
          </w:tcPr>
          <w:p w14:paraId="246DD478" w14:textId="6276FBBB" w:rsidR="00A445D8" w:rsidRPr="00382A62" w:rsidRDefault="007C1B37" w:rsidP="00A445D8">
            <w:pPr>
              <w:spacing w:line="276" w:lineRule="auto"/>
              <w:contextualSpacing/>
              <w:jc w:val="center"/>
              <w:rPr>
                <w:rFonts w:cs="Arial"/>
                <w:szCs w:val="20"/>
              </w:rPr>
            </w:pPr>
            <w:r w:rsidRPr="00382A62">
              <w:rPr>
                <w:rFonts w:cs="Arial"/>
                <w:szCs w:val="20"/>
              </w:rPr>
              <w:t>63.4%</w:t>
            </w:r>
          </w:p>
        </w:tc>
      </w:tr>
      <w:tr w:rsidR="00A445D8" w:rsidRPr="00382A62" w14:paraId="40BC8806" w14:textId="77777777" w:rsidTr="00A445D8">
        <w:trPr>
          <w:trHeight w:val="356"/>
          <w:jc w:val="center"/>
        </w:trPr>
        <w:tc>
          <w:tcPr>
            <w:tcW w:w="2579" w:type="dxa"/>
            <w:shd w:val="clear" w:color="auto" w:fill="FFFFFF" w:themeFill="background1"/>
            <w:noWrap/>
            <w:vAlign w:val="center"/>
            <w:hideMark/>
          </w:tcPr>
          <w:p w14:paraId="1F2B085A" w14:textId="77777777" w:rsidR="00A445D8" w:rsidRPr="00382A62" w:rsidRDefault="00A445D8" w:rsidP="00A445D8">
            <w:pPr>
              <w:spacing w:line="276" w:lineRule="auto"/>
              <w:contextualSpacing/>
              <w:jc w:val="left"/>
              <w:rPr>
                <w:rFonts w:cs="Arial"/>
                <w:szCs w:val="20"/>
              </w:rPr>
            </w:pPr>
            <w:r w:rsidRPr="00382A62">
              <w:rPr>
                <w:rFonts w:cs="Arial"/>
                <w:szCs w:val="20"/>
              </w:rPr>
              <w:t>Estados Unidos</w:t>
            </w:r>
          </w:p>
        </w:tc>
        <w:tc>
          <w:tcPr>
            <w:tcW w:w="1565" w:type="dxa"/>
            <w:shd w:val="clear" w:color="auto" w:fill="FFFFFF" w:themeFill="background1"/>
          </w:tcPr>
          <w:p w14:paraId="3285D645" w14:textId="13C78AE1" w:rsidR="00A445D8" w:rsidRPr="00382A62" w:rsidRDefault="00A445D8" w:rsidP="00A445D8">
            <w:pPr>
              <w:spacing w:line="276" w:lineRule="auto"/>
              <w:contextualSpacing/>
              <w:jc w:val="center"/>
              <w:rPr>
                <w:rFonts w:cs="Arial"/>
                <w:szCs w:val="20"/>
              </w:rPr>
            </w:pPr>
            <w:r w:rsidRPr="00382A62">
              <w:rPr>
                <w:rFonts w:cs="Arial"/>
                <w:szCs w:val="20"/>
              </w:rPr>
              <w:t>28,6%</w:t>
            </w:r>
          </w:p>
        </w:tc>
        <w:tc>
          <w:tcPr>
            <w:tcW w:w="1565" w:type="dxa"/>
            <w:shd w:val="clear" w:color="auto" w:fill="FFFFFF" w:themeFill="background1"/>
          </w:tcPr>
          <w:p w14:paraId="50EC2834" w14:textId="2659A6E6" w:rsidR="00A445D8" w:rsidRPr="00382A62" w:rsidRDefault="007C1B37" w:rsidP="00A445D8">
            <w:pPr>
              <w:spacing w:line="276" w:lineRule="auto"/>
              <w:contextualSpacing/>
              <w:jc w:val="center"/>
              <w:rPr>
                <w:rFonts w:cs="Arial"/>
                <w:szCs w:val="20"/>
              </w:rPr>
            </w:pPr>
            <w:r w:rsidRPr="00382A62">
              <w:rPr>
                <w:rFonts w:cs="Arial"/>
                <w:szCs w:val="20"/>
              </w:rPr>
              <w:t>24.3%</w:t>
            </w:r>
          </w:p>
        </w:tc>
      </w:tr>
      <w:tr w:rsidR="00A445D8" w:rsidRPr="00382A62" w14:paraId="68B9C598" w14:textId="77777777" w:rsidTr="00A445D8">
        <w:trPr>
          <w:trHeight w:val="356"/>
          <w:jc w:val="center"/>
        </w:trPr>
        <w:tc>
          <w:tcPr>
            <w:tcW w:w="2579" w:type="dxa"/>
            <w:shd w:val="clear" w:color="auto" w:fill="FFFFFF" w:themeFill="background1"/>
            <w:noWrap/>
            <w:vAlign w:val="center"/>
            <w:hideMark/>
          </w:tcPr>
          <w:p w14:paraId="1BBB1FDB" w14:textId="77777777" w:rsidR="00A445D8" w:rsidRPr="00382A62" w:rsidRDefault="00A445D8" w:rsidP="00A445D8">
            <w:pPr>
              <w:spacing w:line="276" w:lineRule="auto"/>
              <w:contextualSpacing/>
              <w:jc w:val="left"/>
              <w:rPr>
                <w:rFonts w:cs="Arial"/>
                <w:szCs w:val="20"/>
              </w:rPr>
            </w:pPr>
            <w:r w:rsidRPr="00382A62">
              <w:rPr>
                <w:rFonts w:cs="Arial"/>
                <w:szCs w:val="20"/>
              </w:rPr>
              <w:t>Guatemala</w:t>
            </w:r>
          </w:p>
        </w:tc>
        <w:tc>
          <w:tcPr>
            <w:tcW w:w="1565" w:type="dxa"/>
            <w:shd w:val="clear" w:color="auto" w:fill="FFFFFF" w:themeFill="background1"/>
          </w:tcPr>
          <w:p w14:paraId="3D145AB9" w14:textId="692787F8" w:rsidR="00A445D8" w:rsidRPr="00382A62" w:rsidRDefault="00A445D8" w:rsidP="00A445D8">
            <w:pPr>
              <w:spacing w:line="276" w:lineRule="auto"/>
              <w:contextualSpacing/>
              <w:jc w:val="center"/>
              <w:rPr>
                <w:rFonts w:cs="Arial"/>
                <w:szCs w:val="20"/>
              </w:rPr>
            </w:pPr>
            <w:r w:rsidRPr="00382A62">
              <w:rPr>
                <w:rFonts w:cs="Arial"/>
                <w:szCs w:val="20"/>
              </w:rPr>
              <w:t>6,8%</w:t>
            </w:r>
          </w:p>
        </w:tc>
        <w:tc>
          <w:tcPr>
            <w:tcW w:w="1565" w:type="dxa"/>
            <w:shd w:val="clear" w:color="auto" w:fill="FFFFFF" w:themeFill="background1"/>
          </w:tcPr>
          <w:p w14:paraId="74C1C795" w14:textId="336AF04C" w:rsidR="00A445D8" w:rsidRPr="00382A62" w:rsidRDefault="007C1B37" w:rsidP="00A445D8">
            <w:pPr>
              <w:spacing w:line="276" w:lineRule="auto"/>
              <w:contextualSpacing/>
              <w:jc w:val="center"/>
              <w:rPr>
                <w:rFonts w:cs="Arial"/>
                <w:szCs w:val="20"/>
              </w:rPr>
            </w:pPr>
            <w:r w:rsidRPr="00382A62">
              <w:rPr>
                <w:rFonts w:cs="Arial"/>
                <w:szCs w:val="20"/>
              </w:rPr>
              <w:t>6.4%</w:t>
            </w:r>
          </w:p>
        </w:tc>
      </w:tr>
      <w:tr w:rsidR="00A445D8" w:rsidRPr="00382A62" w14:paraId="3B776033" w14:textId="77777777" w:rsidTr="00A445D8">
        <w:trPr>
          <w:trHeight w:val="356"/>
          <w:jc w:val="center"/>
        </w:trPr>
        <w:tc>
          <w:tcPr>
            <w:tcW w:w="2579" w:type="dxa"/>
            <w:shd w:val="clear" w:color="auto" w:fill="FFFFFF" w:themeFill="background1"/>
            <w:noWrap/>
            <w:vAlign w:val="center"/>
          </w:tcPr>
          <w:p w14:paraId="39DE4A8F" w14:textId="77777777" w:rsidR="00A445D8" w:rsidRPr="00382A62" w:rsidRDefault="00A445D8" w:rsidP="00A445D8">
            <w:pPr>
              <w:spacing w:line="276" w:lineRule="auto"/>
              <w:contextualSpacing/>
              <w:jc w:val="left"/>
              <w:rPr>
                <w:rFonts w:cs="Arial"/>
                <w:szCs w:val="20"/>
              </w:rPr>
            </w:pPr>
            <w:r w:rsidRPr="00382A62">
              <w:rPr>
                <w:rFonts w:cs="Arial"/>
                <w:szCs w:val="20"/>
              </w:rPr>
              <w:t>Panamá</w:t>
            </w:r>
          </w:p>
        </w:tc>
        <w:tc>
          <w:tcPr>
            <w:tcW w:w="1565" w:type="dxa"/>
            <w:shd w:val="clear" w:color="auto" w:fill="FFFFFF" w:themeFill="background1"/>
          </w:tcPr>
          <w:p w14:paraId="0A05C42D" w14:textId="2C9811B5" w:rsidR="00A445D8" w:rsidRPr="00382A62" w:rsidRDefault="00A445D8" w:rsidP="00A445D8">
            <w:pPr>
              <w:spacing w:line="276" w:lineRule="auto"/>
              <w:contextualSpacing/>
              <w:jc w:val="center"/>
              <w:rPr>
                <w:rFonts w:cs="Arial"/>
                <w:szCs w:val="20"/>
              </w:rPr>
            </w:pPr>
            <w:r w:rsidRPr="00382A62">
              <w:rPr>
                <w:rFonts w:cs="Arial"/>
                <w:szCs w:val="20"/>
              </w:rPr>
              <w:t>1,8%</w:t>
            </w:r>
          </w:p>
        </w:tc>
        <w:tc>
          <w:tcPr>
            <w:tcW w:w="1565" w:type="dxa"/>
            <w:shd w:val="clear" w:color="auto" w:fill="FFFFFF" w:themeFill="background1"/>
          </w:tcPr>
          <w:p w14:paraId="1FDF30D5" w14:textId="14784B12" w:rsidR="00A445D8" w:rsidRPr="00382A62" w:rsidRDefault="007C1B37" w:rsidP="00A445D8">
            <w:pPr>
              <w:spacing w:line="276" w:lineRule="auto"/>
              <w:contextualSpacing/>
              <w:jc w:val="center"/>
              <w:rPr>
                <w:rFonts w:cs="Arial"/>
                <w:szCs w:val="20"/>
              </w:rPr>
            </w:pPr>
            <w:r w:rsidRPr="00382A62">
              <w:rPr>
                <w:rFonts w:cs="Arial"/>
                <w:szCs w:val="20"/>
              </w:rPr>
              <w:t>1.9%</w:t>
            </w:r>
          </w:p>
        </w:tc>
      </w:tr>
      <w:tr w:rsidR="00A445D8" w:rsidRPr="00382A62" w14:paraId="7A25AB6F" w14:textId="77777777" w:rsidTr="00A445D8">
        <w:trPr>
          <w:trHeight w:val="356"/>
          <w:jc w:val="center"/>
        </w:trPr>
        <w:tc>
          <w:tcPr>
            <w:tcW w:w="2579" w:type="dxa"/>
            <w:shd w:val="clear" w:color="auto" w:fill="FFFFFF" w:themeFill="background1"/>
            <w:noWrap/>
            <w:vAlign w:val="center"/>
            <w:hideMark/>
          </w:tcPr>
          <w:p w14:paraId="6DB24F9A" w14:textId="77777777" w:rsidR="00A445D8" w:rsidRPr="00382A62" w:rsidRDefault="00A445D8" w:rsidP="00A445D8">
            <w:pPr>
              <w:spacing w:line="276" w:lineRule="auto"/>
              <w:contextualSpacing/>
              <w:jc w:val="left"/>
              <w:rPr>
                <w:rFonts w:cs="Arial"/>
                <w:szCs w:val="20"/>
              </w:rPr>
            </w:pPr>
            <w:r w:rsidRPr="00382A62">
              <w:rPr>
                <w:rFonts w:cs="Arial"/>
                <w:szCs w:val="20"/>
              </w:rPr>
              <w:t>Otros</w:t>
            </w:r>
          </w:p>
        </w:tc>
        <w:tc>
          <w:tcPr>
            <w:tcW w:w="1565" w:type="dxa"/>
            <w:shd w:val="clear" w:color="auto" w:fill="FFFFFF" w:themeFill="background1"/>
          </w:tcPr>
          <w:p w14:paraId="0CAF6DD9" w14:textId="60EC13B6" w:rsidR="00A445D8" w:rsidRPr="00382A62" w:rsidRDefault="00A445D8" w:rsidP="00A445D8">
            <w:pPr>
              <w:spacing w:line="276" w:lineRule="auto"/>
              <w:contextualSpacing/>
              <w:jc w:val="center"/>
              <w:rPr>
                <w:rFonts w:cs="Arial"/>
                <w:szCs w:val="20"/>
              </w:rPr>
            </w:pPr>
            <w:r w:rsidRPr="00382A62">
              <w:rPr>
                <w:rFonts w:cs="Arial"/>
                <w:szCs w:val="20"/>
              </w:rPr>
              <w:t>3,4%</w:t>
            </w:r>
          </w:p>
        </w:tc>
        <w:tc>
          <w:tcPr>
            <w:tcW w:w="1565" w:type="dxa"/>
            <w:shd w:val="clear" w:color="auto" w:fill="FFFFFF" w:themeFill="background1"/>
          </w:tcPr>
          <w:p w14:paraId="6CA4C74C" w14:textId="0B0D6A95" w:rsidR="00A445D8" w:rsidRPr="00382A62" w:rsidRDefault="007C1B37" w:rsidP="00A445D8">
            <w:pPr>
              <w:spacing w:line="276" w:lineRule="auto"/>
              <w:contextualSpacing/>
              <w:jc w:val="center"/>
              <w:rPr>
                <w:rFonts w:cs="Arial"/>
                <w:szCs w:val="20"/>
              </w:rPr>
            </w:pPr>
            <w:r w:rsidRPr="00382A62">
              <w:rPr>
                <w:rFonts w:cs="Arial"/>
                <w:szCs w:val="20"/>
              </w:rPr>
              <w:t>4.0%</w:t>
            </w:r>
          </w:p>
        </w:tc>
      </w:tr>
    </w:tbl>
    <w:p w14:paraId="122EB983" w14:textId="77777777" w:rsidR="007605E6" w:rsidRPr="00382A62" w:rsidRDefault="007605E6" w:rsidP="007605E6">
      <w:pPr>
        <w:rPr>
          <w:rFonts w:cs="Arial"/>
          <w:szCs w:val="20"/>
        </w:rPr>
      </w:pPr>
    </w:p>
    <w:p w14:paraId="258F978E" w14:textId="55BE3ACC" w:rsidR="007605E6" w:rsidRPr="00382A62" w:rsidRDefault="007605E6" w:rsidP="007605E6">
      <w:pPr>
        <w:rPr>
          <w:rFonts w:cs="Arial"/>
          <w:szCs w:val="20"/>
        </w:rPr>
      </w:pPr>
      <w:r w:rsidRPr="00382A62">
        <w:rPr>
          <w:rFonts w:cs="Arial"/>
          <w:szCs w:val="20"/>
        </w:rPr>
        <w:t xml:space="preserve">Las actividades anteriores presentan estacionalidades en los dos mercados principales, Costa Rica y Estados Unidos. En el primer caso, hay una estacionalidad relevante durante el mes de diciembre y enero asociada a las festividades de Navidad y las fiestas de </w:t>
      </w:r>
      <w:r w:rsidR="0099549C">
        <w:rPr>
          <w:rFonts w:cs="Arial"/>
          <w:szCs w:val="20"/>
        </w:rPr>
        <w:t xml:space="preserve">fin e </w:t>
      </w:r>
      <w:r w:rsidRPr="00382A62">
        <w:rPr>
          <w:rFonts w:cs="Arial"/>
          <w:szCs w:val="20"/>
        </w:rPr>
        <w:t>inicio de año, así como durante la Semana Santa. En los Estados Unidos, la estacionalidad está influenciada por el clima, en donde se presenta una disminución marcada de ventas durante el invierno (noviembre a marzo) y un repunte de ventas en la época de verano (junio a setiembre).</w:t>
      </w:r>
    </w:p>
    <w:p w14:paraId="25E88500" w14:textId="5EC8A26C" w:rsidR="00C305FE" w:rsidRPr="00382A62" w:rsidRDefault="007605E6" w:rsidP="007605E6">
      <w:pPr>
        <w:rPr>
          <w:rFonts w:cs="Arial"/>
          <w:szCs w:val="20"/>
        </w:rPr>
      </w:pPr>
      <w:r w:rsidRPr="00382A62">
        <w:rPr>
          <w:rFonts w:cs="Arial"/>
          <w:szCs w:val="20"/>
        </w:rPr>
        <w:t xml:space="preserve">El abastecimiento </w:t>
      </w:r>
      <w:r w:rsidR="004E027C" w:rsidRPr="00382A62">
        <w:rPr>
          <w:rFonts w:cs="Arial"/>
          <w:szCs w:val="20"/>
        </w:rPr>
        <w:t xml:space="preserve">en Costa Rica y Guatemala </w:t>
      </w:r>
      <w:r w:rsidRPr="00382A62">
        <w:rPr>
          <w:rFonts w:cs="Arial"/>
          <w:szCs w:val="20"/>
        </w:rPr>
        <w:t>de los productos de la Compañía a los detallistas, principalmente bares, restaurantes, supermercados, licoreras y abastecedores, se realiza de manera directa por medio de la red de distribución de FIFCO y otras agencias distribuidoras.</w:t>
      </w:r>
    </w:p>
    <w:p w14:paraId="2DA7F58B" w14:textId="77777777" w:rsidR="007605E6" w:rsidRPr="00382A62" w:rsidRDefault="007605E6" w:rsidP="007605E6">
      <w:pPr>
        <w:pStyle w:val="Ttulo3"/>
        <w:numPr>
          <w:ilvl w:val="1"/>
          <w:numId w:val="11"/>
        </w:numPr>
        <w:rPr>
          <w:rFonts w:cs="Arial"/>
          <w:sz w:val="20"/>
          <w:szCs w:val="20"/>
        </w:rPr>
      </w:pPr>
      <w:bookmarkStart w:id="124" w:name="_Toc131092882"/>
      <w:bookmarkStart w:id="125" w:name="_Toc131501083"/>
      <w:bookmarkStart w:id="126" w:name="_Toc169624642"/>
      <w:r w:rsidRPr="00382A62">
        <w:rPr>
          <w:rFonts w:cs="Arial"/>
          <w:sz w:val="20"/>
          <w:szCs w:val="20"/>
        </w:rPr>
        <w:lastRenderedPageBreak/>
        <w:t>Principales competidores</w:t>
      </w:r>
      <w:bookmarkEnd w:id="124"/>
      <w:bookmarkEnd w:id="125"/>
      <w:bookmarkEnd w:id="126"/>
    </w:p>
    <w:p w14:paraId="1F839A6F" w14:textId="6FCDB622" w:rsidR="007605E6" w:rsidRPr="00382A62" w:rsidRDefault="007605E6" w:rsidP="007605E6">
      <w:pPr>
        <w:rPr>
          <w:rFonts w:cs="Arial"/>
          <w:szCs w:val="20"/>
        </w:rPr>
      </w:pPr>
      <w:r w:rsidRPr="00382A62">
        <w:rPr>
          <w:rFonts w:cs="Arial"/>
          <w:szCs w:val="20"/>
        </w:rPr>
        <w:t xml:space="preserve">El mercado de bebidas en que opera FIFCO es muy competitivo. Actualmente, los competidores directos de los productos de FIFCO en Costa Rica son la Cooperativa de Productores de Leche Dos Pinos (que </w:t>
      </w:r>
      <w:r w:rsidR="000A4448" w:rsidRPr="00382A62">
        <w:rPr>
          <w:rFonts w:cs="Arial"/>
          <w:szCs w:val="20"/>
        </w:rPr>
        <w:t xml:space="preserve">envasa </w:t>
      </w:r>
      <w:r w:rsidRPr="00382A62">
        <w:rPr>
          <w:rFonts w:cs="Arial"/>
          <w:szCs w:val="20"/>
        </w:rPr>
        <w:t>y comercializa jugos y bebidas), la compañía FEMSA (embotellador de gaseosas y otras bebidas), Dipo S.A., Grupo Ajecen (embotellador de gaseosas</w:t>
      </w:r>
      <w:r w:rsidR="000A4448" w:rsidRPr="00382A62">
        <w:rPr>
          <w:rFonts w:cs="Arial"/>
          <w:szCs w:val="20"/>
        </w:rPr>
        <w:t xml:space="preserve"> y distribuidor de </w:t>
      </w:r>
      <w:r w:rsidR="00425E4E" w:rsidRPr="00382A62">
        <w:rPr>
          <w:rFonts w:cs="Arial"/>
          <w:szCs w:val="20"/>
        </w:rPr>
        <w:t>cerveza</w:t>
      </w:r>
      <w:r w:rsidRPr="00382A62">
        <w:rPr>
          <w:rFonts w:cs="Arial"/>
          <w:szCs w:val="20"/>
        </w:rPr>
        <w:t xml:space="preserve">), la Fábrica Nacional de Licores (productor de bebidas destiladas), Distribuidora La Pampa y Distribuidora La Nacional, Centenario, La Isleña (distribuidoras de licores, destilados y vinos), panaderías y reposterías como Panaderías Samuelito, Panaderías La Selecta, Panaderías Leandro y tiendas de conveniencia. En el segmento de cerveza, la principal competencia se ve reflejada en los importadores de cerveza (principalmente marcas de la cervecera AB InBev) y el mercado de las cervezas artesanales. </w:t>
      </w:r>
    </w:p>
    <w:p w14:paraId="16C84C00" w14:textId="77777777" w:rsidR="007605E6" w:rsidRPr="00382A62" w:rsidRDefault="007605E6" w:rsidP="007605E6">
      <w:pPr>
        <w:rPr>
          <w:rFonts w:cs="Arial"/>
          <w:szCs w:val="20"/>
        </w:rPr>
      </w:pPr>
      <w:r w:rsidRPr="00382A62">
        <w:rPr>
          <w:rFonts w:cs="Arial"/>
          <w:szCs w:val="20"/>
        </w:rPr>
        <w:t>En el campo turístico e inmobiliario, la competencia es muy amplia, pero el sector en que se enfoca la Compañía es muy exclusivo. Los competidores principales son Dreams Las Mareas, Hotel Planet Hollywood y Secrets Papagayo, para el caso del Hotel Westin Golf Resort &amp; Spa, Playa Conchal y Four Seasons Papagayo, Hotel Andaz Papagayo y JW Marriott, Guanacaste, para el caso del Hotel W Costa Rica. En cuanto al segmento inmobiliario, los principales competidores son Hacienda Pinilla y Las Catalinas. Es importante indicar que el segmento hotelero tiene su principal estacionalidad en el verano en Costa Rica y el verano en Estados Unidos.</w:t>
      </w:r>
    </w:p>
    <w:p w14:paraId="48716FB5" w14:textId="77777777" w:rsidR="007605E6" w:rsidRPr="00382A62" w:rsidRDefault="007605E6" w:rsidP="007605E6">
      <w:pPr>
        <w:pStyle w:val="Ttulo2"/>
        <w:numPr>
          <w:ilvl w:val="0"/>
          <w:numId w:val="11"/>
        </w:numPr>
        <w:rPr>
          <w:rFonts w:cs="Arial"/>
          <w:sz w:val="20"/>
          <w:szCs w:val="20"/>
        </w:rPr>
      </w:pPr>
      <w:bookmarkStart w:id="127" w:name="_Toc131092883"/>
      <w:bookmarkStart w:id="128" w:name="_Toc131501084"/>
      <w:bookmarkStart w:id="129" w:name="_Toc169624643"/>
      <w:r w:rsidRPr="00382A62">
        <w:rPr>
          <w:rFonts w:cs="Arial"/>
          <w:sz w:val="20"/>
          <w:szCs w:val="20"/>
        </w:rPr>
        <w:t>Visión general del negocio</w:t>
      </w:r>
      <w:bookmarkEnd w:id="127"/>
      <w:bookmarkEnd w:id="128"/>
      <w:bookmarkEnd w:id="129"/>
    </w:p>
    <w:p w14:paraId="42D755F6" w14:textId="77777777" w:rsidR="007605E6" w:rsidRPr="00382A62" w:rsidRDefault="007605E6" w:rsidP="007605E6">
      <w:pPr>
        <w:pStyle w:val="Ttulo3"/>
        <w:numPr>
          <w:ilvl w:val="1"/>
          <w:numId w:val="11"/>
        </w:numPr>
        <w:rPr>
          <w:rFonts w:cs="Arial"/>
          <w:sz w:val="20"/>
          <w:szCs w:val="20"/>
        </w:rPr>
      </w:pPr>
      <w:bookmarkStart w:id="130" w:name="_Toc131092884"/>
      <w:bookmarkStart w:id="131" w:name="_Toc131501085"/>
      <w:bookmarkStart w:id="132" w:name="_Toc169624644"/>
      <w:r w:rsidRPr="00382A62">
        <w:rPr>
          <w:rFonts w:cs="Arial"/>
          <w:sz w:val="20"/>
          <w:szCs w:val="20"/>
        </w:rPr>
        <w:t>Subsidiarias de FIFCO</w:t>
      </w:r>
      <w:bookmarkEnd w:id="130"/>
      <w:bookmarkEnd w:id="131"/>
      <w:bookmarkEnd w:id="132"/>
    </w:p>
    <w:p w14:paraId="5A0984B9" w14:textId="4486304A" w:rsidR="007605E6" w:rsidRPr="00382A62" w:rsidRDefault="007605E6" w:rsidP="007605E6">
      <w:pPr>
        <w:rPr>
          <w:rFonts w:cs="Arial"/>
          <w:szCs w:val="20"/>
        </w:rPr>
      </w:pPr>
      <w:r w:rsidRPr="00382A62">
        <w:rPr>
          <w:rFonts w:cs="Arial"/>
          <w:szCs w:val="20"/>
        </w:rPr>
        <w:t>A continuación, se detallan las subsidiaras que tiene FIFCO al 31 de diciembre de 202</w:t>
      </w:r>
      <w:r w:rsidR="00BA279C" w:rsidRPr="00382A62">
        <w:rPr>
          <w:rFonts w:cs="Arial"/>
          <w:szCs w:val="20"/>
        </w:rPr>
        <w:t>3</w:t>
      </w:r>
      <w:r w:rsidRPr="00382A62">
        <w:rPr>
          <w:rFonts w:cs="Arial"/>
          <w:szCs w:val="20"/>
        </w:rPr>
        <w:t>:</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6814"/>
      </w:tblGrid>
      <w:tr w:rsidR="007605E6" w:rsidRPr="00382A62" w14:paraId="2D7427EB" w14:textId="77777777" w:rsidTr="007D00B2">
        <w:trPr>
          <w:trHeight w:val="1035"/>
        </w:trPr>
        <w:tc>
          <w:tcPr>
            <w:tcW w:w="3256" w:type="dxa"/>
            <w:shd w:val="clear" w:color="auto" w:fill="F2F2F2" w:themeFill="background1" w:themeFillShade="F2"/>
            <w:vAlign w:val="center"/>
          </w:tcPr>
          <w:p w14:paraId="3A359C8D" w14:textId="77777777" w:rsidR="007605E6" w:rsidRPr="00382A62" w:rsidRDefault="007605E6" w:rsidP="007D00B2">
            <w:pPr>
              <w:jc w:val="left"/>
              <w:rPr>
                <w:rFonts w:cs="Arial"/>
                <w:b/>
                <w:bCs/>
                <w:szCs w:val="20"/>
              </w:rPr>
            </w:pPr>
            <w:r w:rsidRPr="00382A62">
              <w:rPr>
                <w:rFonts w:cs="Arial"/>
                <w:b/>
                <w:bCs/>
                <w:szCs w:val="20"/>
              </w:rPr>
              <w:t>Distribuidora La Florida, S.A.</w:t>
            </w:r>
          </w:p>
        </w:tc>
        <w:tc>
          <w:tcPr>
            <w:tcW w:w="6814" w:type="dxa"/>
            <w:vAlign w:val="center"/>
          </w:tcPr>
          <w:p w14:paraId="35C3A3EA" w14:textId="77777777" w:rsidR="007605E6" w:rsidRPr="00382A62" w:rsidRDefault="007605E6" w:rsidP="007D00B2">
            <w:pPr>
              <w:rPr>
                <w:rFonts w:cs="Arial"/>
                <w:szCs w:val="20"/>
              </w:rPr>
            </w:pPr>
            <w:r w:rsidRPr="00382A62">
              <w:rPr>
                <w:rFonts w:cs="Arial"/>
                <w:szCs w:val="20"/>
              </w:rPr>
              <w:t>La participación de la Compañía en esta empresa es del 75%. Su actividad principal es producir y distribuir bebidas envasadas y alimentos en Costa Rica, Estados Unidos y Guatemala.</w:t>
            </w:r>
          </w:p>
        </w:tc>
      </w:tr>
      <w:tr w:rsidR="007605E6" w:rsidRPr="00382A62" w14:paraId="10E3CD44" w14:textId="77777777" w:rsidTr="007D00B2">
        <w:trPr>
          <w:trHeight w:val="1035"/>
        </w:trPr>
        <w:tc>
          <w:tcPr>
            <w:tcW w:w="3256" w:type="dxa"/>
            <w:shd w:val="clear" w:color="auto" w:fill="F2F2F2" w:themeFill="background1" w:themeFillShade="F2"/>
            <w:vAlign w:val="center"/>
          </w:tcPr>
          <w:p w14:paraId="5C2C2907" w14:textId="77777777" w:rsidR="007605E6" w:rsidRPr="00382A62" w:rsidRDefault="007605E6" w:rsidP="007D00B2">
            <w:pPr>
              <w:jc w:val="left"/>
              <w:rPr>
                <w:rFonts w:cs="Arial"/>
                <w:b/>
                <w:bCs/>
                <w:szCs w:val="20"/>
              </w:rPr>
            </w:pPr>
            <w:r w:rsidRPr="00382A62">
              <w:rPr>
                <w:rFonts w:cs="Arial"/>
                <w:b/>
                <w:bCs/>
                <w:szCs w:val="20"/>
              </w:rPr>
              <w:t>Florida Inmobiliaria, S.A.</w:t>
            </w:r>
          </w:p>
        </w:tc>
        <w:tc>
          <w:tcPr>
            <w:tcW w:w="6814" w:type="dxa"/>
            <w:vAlign w:val="center"/>
          </w:tcPr>
          <w:p w14:paraId="252ED666" w14:textId="77777777" w:rsidR="007605E6" w:rsidRPr="00382A62" w:rsidRDefault="007605E6" w:rsidP="007D00B2">
            <w:pPr>
              <w:rPr>
                <w:rFonts w:cs="Arial"/>
                <w:szCs w:val="20"/>
              </w:rPr>
            </w:pPr>
            <w:r w:rsidRPr="00382A62">
              <w:rPr>
                <w:rFonts w:cs="Arial"/>
                <w:szCs w:val="20"/>
              </w:rPr>
              <w:t>La participación en esta empresa es del 100% y se dedica a brindar servicios de hotelería y afines, así como el desarrollo turístico e inmobiliario.</w:t>
            </w:r>
          </w:p>
        </w:tc>
      </w:tr>
      <w:tr w:rsidR="007605E6" w:rsidRPr="00382A62" w14:paraId="6AF872F2" w14:textId="77777777" w:rsidTr="007D00B2">
        <w:trPr>
          <w:trHeight w:val="1035"/>
        </w:trPr>
        <w:tc>
          <w:tcPr>
            <w:tcW w:w="3256" w:type="dxa"/>
            <w:shd w:val="clear" w:color="auto" w:fill="F2F2F2" w:themeFill="background1" w:themeFillShade="F2"/>
            <w:vAlign w:val="center"/>
          </w:tcPr>
          <w:p w14:paraId="0E4664C0" w14:textId="77777777" w:rsidR="007605E6" w:rsidRPr="00382A62" w:rsidRDefault="007605E6" w:rsidP="007D00B2">
            <w:pPr>
              <w:jc w:val="left"/>
              <w:rPr>
                <w:rFonts w:cs="Arial"/>
                <w:b/>
                <w:bCs/>
                <w:szCs w:val="20"/>
              </w:rPr>
            </w:pPr>
            <w:r w:rsidRPr="00382A62">
              <w:rPr>
                <w:rFonts w:cs="Arial"/>
                <w:b/>
                <w:bCs/>
                <w:szCs w:val="20"/>
              </w:rPr>
              <w:t>Florida Capitales, S.A.</w:t>
            </w:r>
          </w:p>
        </w:tc>
        <w:tc>
          <w:tcPr>
            <w:tcW w:w="6814" w:type="dxa"/>
            <w:vAlign w:val="center"/>
          </w:tcPr>
          <w:p w14:paraId="3D93D252" w14:textId="41D133DB" w:rsidR="007605E6" w:rsidRPr="00382A62" w:rsidRDefault="007605E6" w:rsidP="007D00B2">
            <w:pPr>
              <w:rPr>
                <w:rFonts w:cs="Arial"/>
                <w:szCs w:val="20"/>
              </w:rPr>
            </w:pPr>
            <w:r w:rsidRPr="00382A62">
              <w:rPr>
                <w:rFonts w:cs="Arial"/>
                <w:szCs w:val="20"/>
              </w:rPr>
              <w:t>La participación en esta empresa es del 100% y se dedica a la administración de inversiones en acciones de compañías asociadas.</w:t>
            </w:r>
          </w:p>
        </w:tc>
      </w:tr>
    </w:tbl>
    <w:p w14:paraId="585EA1FA" w14:textId="77777777" w:rsidR="007605E6" w:rsidRPr="00382A62" w:rsidRDefault="007605E6" w:rsidP="007605E6">
      <w:pPr>
        <w:rPr>
          <w:rFonts w:cs="Arial"/>
          <w:szCs w:val="20"/>
        </w:rPr>
      </w:pPr>
    </w:p>
    <w:p w14:paraId="4178DB99" w14:textId="6597BAC2" w:rsidR="007605E6" w:rsidRPr="00382A62" w:rsidRDefault="007605E6" w:rsidP="007605E6">
      <w:pPr>
        <w:rPr>
          <w:rFonts w:cs="Arial"/>
          <w:szCs w:val="20"/>
        </w:rPr>
      </w:pPr>
      <w:r w:rsidRPr="00382A62">
        <w:rPr>
          <w:rFonts w:cs="Arial"/>
          <w:szCs w:val="20"/>
        </w:rPr>
        <w:t>FIFCO mide las operaciones de sus segmentos de negocio, de acuerdo con políticas corporativas y contables. Dicha información se muestra en el siguiente cuadro de segmentos (en millones de colones), al 31 de diciembre de 202</w:t>
      </w:r>
      <w:r w:rsidR="00BA279C" w:rsidRPr="00382A62">
        <w:rPr>
          <w:rFonts w:cs="Arial"/>
          <w:szCs w:val="20"/>
        </w:rPr>
        <w:t>3</w:t>
      </w:r>
      <w:r w:rsidRPr="00382A62">
        <w:rPr>
          <w:rFonts w:cs="Arial"/>
          <w:szCs w:val="20"/>
        </w:rPr>
        <w:t>:</w:t>
      </w:r>
    </w:p>
    <w:p w14:paraId="760F190C" w14:textId="77777777" w:rsidR="0099549C" w:rsidRDefault="0099549C" w:rsidP="007605E6">
      <w:pPr>
        <w:pStyle w:val="Descripcin"/>
        <w:rPr>
          <w:rFonts w:cs="Arial"/>
          <w:szCs w:val="20"/>
        </w:rPr>
      </w:pPr>
    </w:p>
    <w:p w14:paraId="548D4603" w14:textId="7DE284D7" w:rsidR="007605E6" w:rsidRPr="00382A62" w:rsidRDefault="007605E6" w:rsidP="007605E6">
      <w:pPr>
        <w:pStyle w:val="Descripcin"/>
        <w:rPr>
          <w:rFonts w:cs="Arial"/>
          <w:szCs w:val="20"/>
        </w:rPr>
      </w:pPr>
      <w:bookmarkStart w:id="133" w:name="_Toc169624726"/>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30</w:t>
      </w:r>
      <w:r w:rsidR="00423C23" w:rsidRPr="00382A62">
        <w:rPr>
          <w:rFonts w:cs="Arial"/>
          <w:noProof/>
          <w:szCs w:val="20"/>
        </w:rPr>
        <w:fldChar w:fldCharType="end"/>
      </w:r>
      <w:r w:rsidRPr="00382A62">
        <w:rPr>
          <w:rFonts w:cs="Arial"/>
          <w:szCs w:val="20"/>
        </w:rPr>
        <w:t xml:space="preserve"> - Balance por segmentos de negocio (en millones de colones)</w:t>
      </w:r>
      <w:bookmarkEnd w:id="133"/>
    </w:p>
    <w:tbl>
      <w:tblPr>
        <w:tblW w:w="10338"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2561"/>
        <w:gridCol w:w="1555"/>
        <w:gridCol w:w="1555"/>
        <w:gridCol w:w="1556"/>
        <w:gridCol w:w="1555"/>
        <w:gridCol w:w="1556"/>
      </w:tblGrid>
      <w:tr w:rsidR="007605E6" w:rsidRPr="00382A62" w14:paraId="32CD89FA" w14:textId="77777777" w:rsidTr="007D00B2">
        <w:trPr>
          <w:trHeight w:val="525"/>
          <w:tblHeader/>
          <w:jc w:val="center"/>
        </w:trPr>
        <w:tc>
          <w:tcPr>
            <w:tcW w:w="2561" w:type="dxa"/>
            <w:shd w:val="clear" w:color="auto" w:fill="F2F2F2" w:themeFill="background1" w:themeFillShade="F2"/>
            <w:vAlign w:val="center"/>
            <w:hideMark/>
          </w:tcPr>
          <w:p w14:paraId="4AC3BB3A"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Balance por Segmentos</w:t>
            </w:r>
          </w:p>
        </w:tc>
        <w:tc>
          <w:tcPr>
            <w:tcW w:w="1555" w:type="dxa"/>
            <w:shd w:val="clear" w:color="auto" w:fill="F2F2F2" w:themeFill="background1" w:themeFillShade="F2"/>
            <w:vAlign w:val="center"/>
            <w:hideMark/>
          </w:tcPr>
          <w:p w14:paraId="51F28D9D"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Bebidas</w:t>
            </w:r>
          </w:p>
        </w:tc>
        <w:tc>
          <w:tcPr>
            <w:tcW w:w="1555" w:type="dxa"/>
            <w:shd w:val="clear" w:color="auto" w:fill="F2F2F2" w:themeFill="background1" w:themeFillShade="F2"/>
            <w:vAlign w:val="center"/>
            <w:hideMark/>
          </w:tcPr>
          <w:p w14:paraId="612FAF4D"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Alimentos</w:t>
            </w:r>
          </w:p>
        </w:tc>
        <w:tc>
          <w:tcPr>
            <w:tcW w:w="1556" w:type="dxa"/>
            <w:shd w:val="clear" w:color="auto" w:fill="F2F2F2" w:themeFill="background1" w:themeFillShade="F2"/>
            <w:vAlign w:val="center"/>
            <w:hideMark/>
          </w:tcPr>
          <w:p w14:paraId="7D65130E"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Inmobiliario</w:t>
            </w:r>
          </w:p>
        </w:tc>
        <w:tc>
          <w:tcPr>
            <w:tcW w:w="1555" w:type="dxa"/>
            <w:shd w:val="clear" w:color="auto" w:fill="F2F2F2" w:themeFill="background1" w:themeFillShade="F2"/>
            <w:vAlign w:val="center"/>
            <w:hideMark/>
          </w:tcPr>
          <w:p w14:paraId="29990A7B"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Otros</w:t>
            </w:r>
          </w:p>
        </w:tc>
        <w:tc>
          <w:tcPr>
            <w:tcW w:w="1556" w:type="dxa"/>
            <w:shd w:val="clear" w:color="auto" w:fill="F2F2F2" w:themeFill="background1" w:themeFillShade="F2"/>
            <w:vAlign w:val="center"/>
            <w:hideMark/>
          </w:tcPr>
          <w:p w14:paraId="6F33D70A" w14:textId="65000CD9" w:rsidR="007605E6" w:rsidRPr="00382A62" w:rsidRDefault="00E06BCB" w:rsidP="007D00B2">
            <w:pPr>
              <w:spacing w:line="276" w:lineRule="auto"/>
              <w:contextualSpacing/>
              <w:jc w:val="center"/>
              <w:rPr>
                <w:rFonts w:cs="Arial"/>
                <w:b/>
                <w:bCs/>
                <w:szCs w:val="20"/>
              </w:rPr>
            </w:pPr>
            <w:r w:rsidRPr="00382A62">
              <w:rPr>
                <w:rFonts w:cs="Arial"/>
                <w:b/>
                <w:bCs/>
                <w:szCs w:val="20"/>
              </w:rPr>
              <w:t>Total,</w:t>
            </w:r>
            <w:r w:rsidR="007605E6" w:rsidRPr="00382A62">
              <w:rPr>
                <w:rFonts w:cs="Arial"/>
                <w:b/>
                <w:bCs/>
                <w:szCs w:val="20"/>
              </w:rPr>
              <w:t xml:space="preserve"> Consolidado</w:t>
            </w:r>
          </w:p>
        </w:tc>
      </w:tr>
      <w:tr w:rsidR="007605E6" w:rsidRPr="00382A62" w14:paraId="25F86F93" w14:textId="77777777" w:rsidTr="007D00B2">
        <w:trPr>
          <w:trHeight w:val="460"/>
          <w:jc w:val="center"/>
        </w:trPr>
        <w:tc>
          <w:tcPr>
            <w:tcW w:w="2561" w:type="dxa"/>
            <w:shd w:val="clear" w:color="auto" w:fill="auto"/>
            <w:noWrap/>
            <w:vAlign w:val="center"/>
            <w:hideMark/>
          </w:tcPr>
          <w:p w14:paraId="123312AA" w14:textId="77777777" w:rsidR="007605E6" w:rsidRPr="00382A62" w:rsidRDefault="007605E6" w:rsidP="007D00B2">
            <w:pPr>
              <w:spacing w:line="276" w:lineRule="auto"/>
              <w:contextualSpacing/>
              <w:rPr>
                <w:rFonts w:cs="Arial"/>
                <w:szCs w:val="20"/>
              </w:rPr>
            </w:pPr>
            <w:r w:rsidRPr="00382A62">
              <w:rPr>
                <w:rFonts w:cs="Arial"/>
                <w:szCs w:val="20"/>
              </w:rPr>
              <w:t>Ventas netas</w:t>
            </w:r>
          </w:p>
        </w:tc>
        <w:tc>
          <w:tcPr>
            <w:tcW w:w="1555" w:type="dxa"/>
            <w:shd w:val="clear" w:color="auto" w:fill="auto"/>
            <w:vAlign w:val="center"/>
          </w:tcPr>
          <w:p w14:paraId="4C5FCB3D" w14:textId="68D2B7C4" w:rsidR="007605E6" w:rsidRPr="00382A62" w:rsidRDefault="00FD60C6" w:rsidP="00622AB9">
            <w:pPr>
              <w:spacing w:line="276" w:lineRule="auto"/>
              <w:contextualSpacing/>
              <w:jc w:val="right"/>
              <w:rPr>
                <w:rFonts w:cs="Arial"/>
                <w:szCs w:val="20"/>
              </w:rPr>
            </w:pPr>
            <w:r w:rsidRPr="00382A62">
              <w:rPr>
                <w:rFonts w:cs="Arial"/>
                <w:szCs w:val="20"/>
              </w:rPr>
              <w:t>663.908</w:t>
            </w:r>
          </w:p>
        </w:tc>
        <w:tc>
          <w:tcPr>
            <w:tcW w:w="1555" w:type="dxa"/>
            <w:shd w:val="clear" w:color="auto" w:fill="auto"/>
            <w:vAlign w:val="center"/>
          </w:tcPr>
          <w:p w14:paraId="1204C7F1" w14:textId="2F68C4C2" w:rsidR="007605E6" w:rsidRPr="00382A62" w:rsidRDefault="00051C3C" w:rsidP="00622AB9">
            <w:pPr>
              <w:spacing w:line="276" w:lineRule="auto"/>
              <w:contextualSpacing/>
              <w:jc w:val="right"/>
              <w:rPr>
                <w:rFonts w:cs="Arial"/>
                <w:szCs w:val="20"/>
              </w:rPr>
            </w:pPr>
            <w:r w:rsidRPr="00382A62">
              <w:rPr>
                <w:rFonts w:cs="Arial"/>
                <w:szCs w:val="20"/>
              </w:rPr>
              <w:t>99.161</w:t>
            </w:r>
          </w:p>
        </w:tc>
        <w:tc>
          <w:tcPr>
            <w:tcW w:w="1556" w:type="dxa"/>
            <w:shd w:val="clear" w:color="auto" w:fill="auto"/>
            <w:vAlign w:val="center"/>
          </w:tcPr>
          <w:p w14:paraId="5C7727CA" w14:textId="62F687EB" w:rsidR="007605E6" w:rsidRPr="00382A62" w:rsidRDefault="00B778FE" w:rsidP="00622AB9">
            <w:pPr>
              <w:spacing w:line="276" w:lineRule="auto"/>
              <w:contextualSpacing/>
              <w:jc w:val="right"/>
              <w:rPr>
                <w:rFonts w:cs="Arial"/>
                <w:szCs w:val="20"/>
              </w:rPr>
            </w:pPr>
            <w:r w:rsidRPr="00382A62">
              <w:rPr>
                <w:rFonts w:cs="Arial"/>
                <w:szCs w:val="20"/>
              </w:rPr>
              <w:t>61.484</w:t>
            </w:r>
          </w:p>
        </w:tc>
        <w:tc>
          <w:tcPr>
            <w:tcW w:w="1555" w:type="dxa"/>
            <w:shd w:val="clear" w:color="auto" w:fill="auto"/>
            <w:vAlign w:val="center"/>
          </w:tcPr>
          <w:p w14:paraId="623E55E9" w14:textId="39CC9587" w:rsidR="007605E6" w:rsidRPr="00382A62" w:rsidRDefault="00E06BCB" w:rsidP="00622AB9">
            <w:pPr>
              <w:spacing w:line="276" w:lineRule="auto"/>
              <w:contextualSpacing/>
              <w:jc w:val="right"/>
              <w:rPr>
                <w:rFonts w:cs="Arial"/>
                <w:szCs w:val="20"/>
              </w:rPr>
            </w:pPr>
            <w:r w:rsidRPr="00382A62">
              <w:rPr>
                <w:rFonts w:cs="Arial"/>
                <w:szCs w:val="20"/>
              </w:rPr>
              <w:t>2.834</w:t>
            </w:r>
          </w:p>
        </w:tc>
        <w:tc>
          <w:tcPr>
            <w:tcW w:w="1556" w:type="dxa"/>
            <w:shd w:val="clear" w:color="auto" w:fill="auto"/>
            <w:noWrap/>
            <w:vAlign w:val="center"/>
          </w:tcPr>
          <w:p w14:paraId="0C72AA35" w14:textId="594CB402" w:rsidR="007605E6" w:rsidRPr="00382A62" w:rsidRDefault="00E06BCB" w:rsidP="00622AB9">
            <w:pPr>
              <w:spacing w:line="276" w:lineRule="auto"/>
              <w:contextualSpacing/>
              <w:jc w:val="right"/>
              <w:rPr>
                <w:rFonts w:cs="Arial"/>
                <w:szCs w:val="20"/>
              </w:rPr>
            </w:pPr>
            <w:r w:rsidRPr="00382A62">
              <w:rPr>
                <w:rFonts w:cs="Arial"/>
                <w:szCs w:val="20"/>
              </w:rPr>
              <w:t>827.387</w:t>
            </w:r>
          </w:p>
        </w:tc>
      </w:tr>
      <w:tr w:rsidR="007605E6" w:rsidRPr="00382A62" w14:paraId="08BE04AD" w14:textId="77777777" w:rsidTr="007D00B2">
        <w:trPr>
          <w:trHeight w:val="460"/>
          <w:jc w:val="center"/>
        </w:trPr>
        <w:tc>
          <w:tcPr>
            <w:tcW w:w="2561" w:type="dxa"/>
            <w:shd w:val="clear" w:color="auto" w:fill="auto"/>
            <w:noWrap/>
            <w:vAlign w:val="center"/>
            <w:hideMark/>
          </w:tcPr>
          <w:p w14:paraId="46DD1658" w14:textId="77777777" w:rsidR="007605E6" w:rsidRPr="00382A62" w:rsidRDefault="007605E6" w:rsidP="007D00B2">
            <w:pPr>
              <w:spacing w:line="276" w:lineRule="auto"/>
              <w:contextualSpacing/>
              <w:rPr>
                <w:rFonts w:cs="Arial"/>
                <w:szCs w:val="20"/>
              </w:rPr>
            </w:pPr>
            <w:r w:rsidRPr="00382A62">
              <w:rPr>
                <w:rFonts w:cs="Arial"/>
                <w:szCs w:val="20"/>
              </w:rPr>
              <w:t>Costo de ventas</w:t>
            </w:r>
          </w:p>
        </w:tc>
        <w:tc>
          <w:tcPr>
            <w:tcW w:w="1555" w:type="dxa"/>
            <w:shd w:val="clear" w:color="auto" w:fill="auto"/>
            <w:vAlign w:val="center"/>
          </w:tcPr>
          <w:p w14:paraId="2AAF13CC" w14:textId="59460983" w:rsidR="007605E6" w:rsidRPr="00382A62" w:rsidRDefault="00FD60C6" w:rsidP="00622AB9">
            <w:pPr>
              <w:spacing w:line="276" w:lineRule="auto"/>
              <w:contextualSpacing/>
              <w:jc w:val="right"/>
              <w:rPr>
                <w:rFonts w:cs="Arial"/>
                <w:szCs w:val="20"/>
              </w:rPr>
            </w:pPr>
            <w:r w:rsidRPr="00382A62">
              <w:rPr>
                <w:rFonts w:cs="Arial"/>
                <w:szCs w:val="20"/>
              </w:rPr>
              <w:t>336.630</w:t>
            </w:r>
          </w:p>
        </w:tc>
        <w:tc>
          <w:tcPr>
            <w:tcW w:w="1555" w:type="dxa"/>
            <w:shd w:val="clear" w:color="auto" w:fill="auto"/>
            <w:vAlign w:val="center"/>
          </w:tcPr>
          <w:p w14:paraId="19974D2E" w14:textId="1E2B48D1" w:rsidR="007605E6" w:rsidRPr="00382A62" w:rsidRDefault="00051C3C" w:rsidP="00622AB9">
            <w:pPr>
              <w:spacing w:line="276" w:lineRule="auto"/>
              <w:contextualSpacing/>
              <w:jc w:val="right"/>
              <w:rPr>
                <w:rFonts w:cs="Arial"/>
                <w:szCs w:val="20"/>
              </w:rPr>
            </w:pPr>
            <w:r w:rsidRPr="00382A62">
              <w:rPr>
                <w:rFonts w:cs="Arial"/>
                <w:szCs w:val="20"/>
              </w:rPr>
              <w:t>66.983</w:t>
            </w:r>
          </w:p>
        </w:tc>
        <w:tc>
          <w:tcPr>
            <w:tcW w:w="1556" w:type="dxa"/>
            <w:shd w:val="clear" w:color="auto" w:fill="auto"/>
            <w:vAlign w:val="center"/>
          </w:tcPr>
          <w:p w14:paraId="5C78AFE8" w14:textId="7A7BEA63" w:rsidR="007605E6" w:rsidRPr="00382A62" w:rsidRDefault="00B778FE" w:rsidP="00622AB9">
            <w:pPr>
              <w:spacing w:line="276" w:lineRule="auto"/>
              <w:contextualSpacing/>
              <w:jc w:val="right"/>
              <w:rPr>
                <w:rFonts w:cs="Arial"/>
                <w:szCs w:val="20"/>
              </w:rPr>
            </w:pPr>
            <w:r w:rsidRPr="00382A62">
              <w:rPr>
                <w:rFonts w:cs="Arial"/>
                <w:szCs w:val="20"/>
              </w:rPr>
              <w:t>20.751</w:t>
            </w:r>
          </w:p>
        </w:tc>
        <w:tc>
          <w:tcPr>
            <w:tcW w:w="1555" w:type="dxa"/>
            <w:shd w:val="clear" w:color="auto" w:fill="auto"/>
            <w:vAlign w:val="center"/>
          </w:tcPr>
          <w:p w14:paraId="1D013B17" w14:textId="1DE30B04" w:rsidR="007605E6" w:rsidRPr="00382A62" w:rsidRDefault="00E06BCB" w:rsidP="00622AB9">
            <w:pPr>
              <w:spacing w:line="276" w:lineRule="auto"/>
              <w:contextualSpacing/>
              <w:jc w:val="right"/>
              <w:rPr>
                <w:rFonts w:cs="Arial"/>
                <w:szCs w:val="20"/>
              </w:rPr>
            </w:pPr>
            <w:r w:rsidRPr="00382A62">
              <w:rPr>
                <w:rFonts w:cs="Arial"/>
                <w:szCs w:val="20"/>
              </w:rPr>
              <w:t>1.242</w:t>
            </w:r>
          </w:p>
        </w:tc>
        <w:tc>
          <w:tcPr>
            <w:tcW w:w="1556" w:type="dxa"/>
            <w:shd w:val="clear" w:color="auto" w:fill="auto"/>
            <w:noWrap/>
            <w:vAlign w:val="center"/>
          </w:tcPr>
          <w:p w14:paraId="534492BB" w14:textId="5DC932BC" w:rsidR="007605E6" w:rsidRPr="00382A62" w:rsidRDefault="00E06BCB" w:rsidP="00622AB9">
            <w:pPr>
              <w:spacing w:line="276" w:lineRule="auto"/>
              <w:contextualSpacing/>
              <w:jc w:val="right"/>
              <w:rPr>
                <w:rFonts w:cs="Arial"/>
                <w:szCs w:val="20"/>
              </w:rPr>
            </w:pPr>
            <w:r w:rsidRPr="00382A62">
              <w:rPr>
                <w:rFonts w:cs="Arial"/>
                <w:szCs w:val="20"/>
              </w:rPr>
              <w:t>425.606</w:t>
            </w:r>
          </w:p>
        </w:tc>
      </w:tr>
      <w:tr w:rsidR="007605E6" w:rsidRPr="00382A62" w14:paraId="6530C7D2" w14:textId="77777777" w:rsidTr="007D00B2">
        <w:trPr>
          <w:trHeight w:val="460"/>
          <w:jc w:val="center"/>
        </w:trPr>
        <w:tc>
          <w:tcPr>
            <w:tcW w:w="2561" w:type="dxa"/>
            <w:shd w:val="clear" w:color="auto" w:fill="auto"/>
            <w:noWrap/>
            <w:vAlign w:val="center"/>
            <w:hideMark/>
          </w:tcPr>
          <w:p w14:paraId="7CC6142C" w14:textId="77777777" w:rsidR="007605E6" w:rsidRPr="00382A62" w:rsidRDefault="007605E6" w:rsidP="007D00B2">
            <w:pPr>
              <w:spacing w:line="276" w:lineRule="auto"/>
              <w:contextualSpacing/>
              <w:rPr>
                <w:rFonts w:cs="Arial"/>
                <w:szCs w:val="20"/>
              </w:rPr>
            </w:pPr>
            <w:r w:rsidRPr="00382A62">
              <w:rPr>
                <w:rFonts w:cs="Arial"/>
                <w:szCs w:val="20"/>
              </w:rPr>
              <w:t>Gasto por depreciación</w:t>
            </w:r>
          </w:p>
        </w:tc>
        <w:tc>
          <w:tcPr>
            <w:tcW w:w="1555" w:type="dxa"/>
            <w:shd w:val="clear" w:color="auto" w:fill="auto"/>
            <w:vAlign w:val="center"/>
          </w:tcPr>
          <w:p w14:paraId="5600C615" w14:textId="4AC83412" w:rsidR="007605E6" w:rsidRPr="00382A62" w:rsidRDefault="00FD60C6" w:rsidP="00622AB9">
            <w:pPr>
              <w:spacing w:line="276" w:lineRule="auto"/>
              <w:contextualSpacing/>
              <w:jc w:val="right"/>
              <w:rPr>
                <w:rFonts w:cs="Arial"/>
                <w:szCs w:val="20"/>
              </w:rPr>
            </w:pPr>
            <w:r w:rsidRPr="00382A62">
              <w:rPr>
                <w:rFonts w:cs="Arial"/>
                <w:szCs w:val="20"/>
              </w:rPr>
              <w:t>31.797</w:t>
            </w:r>
          </w:p>
        </w:tc>
        <w:tc>
          <w:tcPr>
            <w:tcW w:w="1555" w:type="dxa"/>
            <w:shd w:val="clear" w:color="auto" w:fill="auto"/>
            <w:vAlign w:val="center"/>
          </w:tcPr>
          <w:p w14:paraId="76BBF542" w14:textId="4170C93C" w:rsidR="007605E6" w:rsidRPr="00382A62" w:rsidRDefault="00051C3C" w:rsidP="00622AB9">
            <w:pPr>
              <w:spacing w:line="276" w:lineRule="auto"/>
              <w:contextualSpacing/>
              <w:jc w:val="right"/>
              <w:rPr>
                <w:rFonts w:cs="Arial"/>
                <w:szCs w:val="20"/>
              </w:rPr>
            </w:pPr>
            <w:r w:rsidRPr="00382A62">
              <w:rPr>
                <w:rFonts w:cs="Arial"/>
                <w:szCs w:val="20"/>
              </w:rPr>
              <w:t>2.265</w:t>
            </w:r>
          </w:p>
        </w:tc>
        <w:tc>
          <w:tcPr>
            <w:tcW w:w="1556" w:type="dxa"/>
            <w:shd w:val="clear" w:color="auto" w:fill="auto"/>
            <w:vAlign w:val="center"/>
          </w:tcPr>
          <w:p w14:paraId="23BCD8D1" w14:textId="5722BBCE" w:rsidR="007605E6" w:rsidRPr="00382A62" w:rsidRDefault="00B778FE" w:rsidP="00622AB9">
            <w:pPr>
              <w:spacing w:line="276" w:lineRule="auto"/>
              <w:contextualSpacing/>
              <w:jc w:val="right"/>
              <w:rPr>
                <w:rFonts w:cs="Arial"/>
                <w:szCs w:val="20"/>
              </w:rPr>
            </w:pPr>
            <w:r w:rsidRPr="00382A62">
              <w:rPr>
                <w:rFonts w:cs="Arial"/>
                <w:szCs w:val="20"/>
              </w:rPr>
              <w:t>2.383</w:t>
            </w:r>
          </w:p>
        </w:tc>
        <w:tc>
          <w:tcPr>
            <w:tcW w:w="1555" w:type="dxa"/>
            <w:shd w:val="clear" w:color="auto" w:fill="auto"/>
            <w:vAlign w:val="center"/>
          </w:tcPr>
          <w:p w14:paraId="1ED69CE0" w14:textId="43504469" w:rsidR="007605E6" w:rsidRPr="00382A62" w:rsidRDefault="00E06BCB" w:rsidP="00622AB9">
            <w:pPr>
              <w:spacing w:line="276" w:lineRule="auto"/>
              <w:contextualSpacing/>
              <w:jc w:val="right"/>
              <w:rPr>
                <w:rFonts w:cs="Arial"/>
                <w:szCs w:val="20"/>
              </w:rPr>
            </w:pPr>
            <w:r w:rsidRPr="00382A62">
              <w:rPr>
                <w:rFonts w:cs="Arial"/>
                <w:szCs w:val="20"/>
              </w:rPr>
              <w:t>111</w:t>
            </w:r>
          </w:p>
        </w:tc>
        <w:tc>
          <w:tcPr>
            <w:tcW w:w="1556" w:type="dxa"/>
            <w:shd w:val="clear" w:color="auto" w:fill="auto"/>
            <w:noWrap/>
            <w:vAlign w:val="center"/>
          </w:tcPr>
          <w:p w14:paraId="2A4CF3C6" w14:textId="5772E505" w:rsidR="007605E6" w:rsidRPr="00382A62" w:rsidRDefault="00E06BCB" w:rsidP="00622AB9">
            <w:pPr>
              <w:spacing w:line="276" w:lineRule="auto"/>
              <w:contextualSpacing/>
              <w:jc w:val="right"/>
              <w:rPr>
                <w:rFonts w:cs="Arial"/>
                <w:szCs w:val="20"/>
              </w:rPr>
            </w:pPr>
            <w:r w:rsidRPr="00382A62">
              <w:rPr>
                <w:rFonts w:cs="Arial"/>
                <w:szCs w:val="20"/>
              </w:rPr>
              <w:t>36.556</w:t>
            </w:r>
          </w:p>
        </w:tc>
      </w:tr>
      <w:tr w:rsidR="007605E6" w:rsidRPr="00382A62" w14:paraId="0A082C14" w14:textId="77777777" w:rsidTr="007D00B2">
        <w:trPr>
          <w:trHeight w:val="460"/>
          <w:jc w:val="center"/>
        </w:trPr>
        <w:tc>
          <w:tcPr>
            <w:tcW w:w="2561" w:type="dxa"/>
            <w:shd w:val="clear" w:color="auto" w:fill="auto"/>
            <w:noWrap/>
            <w:vAlign w:val="center"/>
            <w:hideMark/>
          </w:tcPr>
          <w:p w14:paraId="1B6EBBC7" w14:textId="77777777" w:rsidR="007605E6" w:rsidRPr="00382A62" w:rsidRDefault="007605E6" w:rsidP="007D00B2">
            <w:pPr>
              <w:spacing w:line="276" w:lineRule="auto"/>
              <w:contextualSpacing/>
              <w:rPr>
                <w:rFonts w:cs="Arial"/>
                <w:szCs w:val="20"/>
              </w:rPr>
            </w:pPr>
            <w:r w:rsidRPr="00382A62">
              <w:rPr>
                <w:rFonts w:cs="Arial"/>
                <w:szCs w:val="20"/>
              </w:rPr>
              <w:t>Amortización de activos intangibles</w:t>
            </w:r>
          </w:p>
        </w:tc>
        <w:tc>
          <w:tcPr>
            <w:tcW w:w="1555" w:type="dxa"/>
            <w:shd w:val="clear" w:color="auto" w:fill="auto"/>
            <w:vAlign w:val="center"/>
          </w:tcPr>
          <w:p w14:paraId="022677C5" w14:textId="31822C5C" w:rsidR="007605E6" w:rsidRPr="00382A62" w:rsidRDefault="00FD60C6" w:rsidP="00622AB9">
            <w:pPr>
              <w:spacing w:line="276" w:lineRule="auto"/>
              <w:contextualSpacing/>
              <w:jc w:val="right"/>
              <w:rPr>
                <w:rFonts w:cs="Arial"/>
                <w:szCs w:val="20"/>
              </w:rPr>
            </w:pPr>
            <w:r w:rsidRPr="00382A62">
              <w:rPr>
                <w:rFonts w:cs="Arial"/>
                <w:szCs w:val="20"/>
              </w:rPr>
              <w:t>7.139</w:t>
            </w:r>
          </w:p>
        </w:tc>
        <w:tc>
          <w:tcPr>
            <w:tcW w:w="1555" w:type="dxa"/>
            <w:shd w:val="clear" w:color="auto" w:fill="auto"/>
            <w:vAlign w:val="center"/>
          </w:tcPr>
          <w:p w14:paraId="18CD7611" w14:textId="2DD3451B" w:rsidR="007605E6" w:rsidRPr="00382A62" w:rsidRDefault="00051C3C" w:rsidP="00622AB9">
            <w:pPr>
              <w:spacing w:line="276" w:lineRule="auto"/>
              <w:contextualSpacing/>
              <w:jc w:val="right"/>
              <w:rPr>
                <w:rFonts w:cs="Arial"/>
                <w:szCs w:val="20"/>
              </w:rPr>
            </w:pPr>
            <w:r w:rsidRPr="00382A62">
              <w:rPr>
                <w:rFonts w:cs="Arial"/>
                <w:szCs w:val="20"/>
              </w:rPr>
              <w:t>16</w:t>
            </w:r>
          </w:p>
        </w:tc>
        <w:tc>
          <w:tcPr>
            <w:tcW w:w="1556" w:type="dxa"/>
            <w:shd w:val="clear" w:color="auto" w:fill="auto"/>
            <w:vAlign w:val="center"/>
          </w:tcPr>
          <w:p w14:paraId="1D37382E" w14:textId="540E2486" w:rsidR="007605E6" w:rsidRPr="00382A62" w:rsidRDefault="00B778FE" w:rsidP="00622AB9">
            <w:pPr>
              <w:spacing w:line="276" w:lineRule="auto"/>
              <w:contextualSpacing/>
              <w:jc w:val="right"/>
              <w:rPr>
                <w:rFonts w:cs="Arial"/>
                <w:szCs w:val="20"/>
              </w:rPr>
            </w:pPr>
            <w:r w:rsidRPr="00382A62">
              <w:rPr>
                <w:rFonts w:cs="Arial"/>
                <w:szCs w:val="20"/>
              </w:rPr>
              <w:t>12</w:t>
            </w:r>
          </w:p>
        </w:tc>
        <w:tc>
          <w:tcPr>
            <w:tcW w:w="1555" w:type="dxa"/>
            <w:shd w:val="clear" w:color="auto" w:fill="auto"/>
            <w:vAlign w:val="center"/>
          </w:tcPr>
          <w:p w14:paraId="6A730A8F" w14:textId="77777777" w:rsidR="007605E6" w:rsidRPr="00382A62" w:rsidRDefault="007605E6" w:rsidP="00622AB9">
            <w:pPr>
              <w:spacing w:line="276" w:lineRule="auto"/>
              <w:contextualSpacing/>
              <w:jc w:val="right"/>
              <w:rPr>
                <w:rFonts w:cs="Arial"/>
                <w:szCs w:val="20"/>
              </w:rPr>
            </w:pPr>
            <w:r w:rsidRPr="00382A62">
              <w:rPr>
                <w:rFonts w:cs="Arial"/>
                <w:szCs w:val="20"/>
              </w:rPr>
              <w:t>-</w:t>
            </w:r>
          </w:p>
        </w:tc>
        <w:tc>
          <w:tcPr>
            <w:tcW w:w="1556" w:type="dxa"/>
            <w:shd w:val="clear" w:color="auto" w:fill="auto"/>
            <w:noWrap/>
            <w:vAlign w:val="center"/>
          </w:tcPr>
          <w:p w14:paraId="5A690596" w14:textId="657EEBE8" w:rsidR="007605E6" w:rsidRPr="00382A62" w:rsidRDefault="00E06BCB" w:rsidP="00622AB9">
            <w:pPr>
              <w:spacing w:line="276" w:lineRule="auto"/>
              <w:contextualSpacing/>
              <w:jc w:val="right"/>
              <w:rPr>
                <w:rFonts w:cs="Arial"/>
                <w:szCs w:val="20"/>
              </w:rPr>
            </w:pPr>
            <w:r w:rsidRPr="00382A62">
              <w:rPr>
                <w:rFonts w:cs="Arial"/>
                <w:szCs w:val="20"/>
              </w:rPr>
              <w:t>7.167</w:t>
            </w:r>
          </w:p>
        </w:tc>
      </w:tr>
      <w:tr w:rsidR="007605E6" w:rsidRPr="00382A62" w14:paraId="20351756" w14:textId="77777777" w:rsidTr="007D00B2">
        <w:trPr>
          <w:trHeight w:val="270"/>
          <w:jc w:val="center"/>
        </w:trPr>
        <w:tc>
          <w:tcPr>
            <w:tcW w:w="2561" w:type="dxa"/>
            <w:shd w:val="clear" w:color="auto" w:fill="auto"/>
            <w:noWrap/>
            <w:vAlign w:val="center"/>
            <w:hideMark/>
          </w:tcPr>
          <w:p w14:paraId="768FB3E9" w14:textId="77777777" w:rsidR="007605E6" w:rsidRPr="00382A62" w:rsidRDefault="007605E6" w:rsidP="007D00B2">
            <w:pPr>
              <w:spacing w:line="276" w:lineRule="auto"/>
              <w:contextualSpacing/>
              <w:rPr>
                <w:rFonts w:cs="Arial"/>
                <w:b/>
                <w:bCs/>
                <w:szCs w:val="20"/>
              </w:rPr>
            </w:pPr>
            <w:r w:rsidRPr="00382A62">
              <w:rPr>
                <w:rFonts w:cs="Arial"/>
                <w:b/>
                <w:bCs/>
                <w:szCs w:val="20"/>
              </w:rPr>
              <w:t>Utilidad Operativa</w:t>
            </w:r>
          </w:p>
        </w:tc>
        <w:tc>
          <w:tcPr>
            <w:tcW w:w="1555" w:type="dxa"/>
            <w:shd w:val="clear" w:color="auto" w:fill="auto"/>
            <w:vAlign w:val="center"/>
          </w:tcPr>
          <w:p w14:paraId="01F5D7C7" w14:textId="67B96037" w:rsidR="00051C3C" w:rsidRPr="00382A62" w:rsidRDefault="00051C3C" w:rsidP="00622AB9">
            <w:pPr>
              <w:spacing w:line="276" w:lineRule="auto"/>
              <w:contextualSpacing/>
              <w:jc w:val="right"/>
              <w:rPr>
                <w:rFonts w:cs="Arial"/>
                <w:b/>
                <w:bCs/>
                <w:szCs w:val="20"/>
              </w:rPr>
            </w:pPr>
            <w:r w:rsidRPr="00382A62">
              <w:rPr>
                <w:rFonts w:cs="Arial"/>
                <w:b/>
                <w:bCs/>
                <w:szCs w:val="20"/>
              </w:rPr>
              <w:t>120.188</w:t>
            </w:r>
          </w:p>
        </w:tc>
        <w:tc>
          <w:tcPr>
            <w:tcW w:w="1555" w:type="dxa"/>
            <w:shd w:val="clear" w:color="auto" w:fill="auto"/>
            <w:vAlign w:val="center"/>
          </w:tcPr>
          <w:p w14:paraId="4F639095" w14:textId="5662F8A4" w:rsidR="007605E6" w:rsidRPr="00382A62" w:rsidRDefault="00051C3C" w:rsidP="00622AB9">
            <w:pPr>
              <w:spacing w:line="276" w:lineRule="auto"/>
              <w:contextualSpacing/>
              <w:jc w:val="right"/>
              <w:rPr>
                <w:rFonts w:cs="Arial"/>
                <w:b/>
                <w:szCs w:val="20"/>
              </w:rPr>
            </w:pPr>
            <w:r w:rsidRPr="00382A62">
              <w:rPr>
                <w:rFonts w:cs="Arial"/>
                <w:b/>
                <w:bCs/>
                <w:szCs w:val="20"/>
              </w:rPr>
              <w:t>3.664</w:t>
            </w:r>
          </w:p>
        </w:tc>
        <w:tc>
          <w:tcPr>
            <w:tcW w:w="1556" w:type="dxa"/>
            <w:shd w:val="clear" w:color="auto" w:fill="auto"/>
            <w:vAlign w:val="center"/>
          </w:tcPr>
          <w:p w14:paraId="39AE932D" w14:textId="654A9DD1" w:rsidR="007605E6" w:rsidRPr="00382A62" w:rsidRDefault="001A38D5" w:rsidP="00622AB9">
            <w:pPr>
              <w:spacing w:line="276" w:lineRule="auto"/>
              <w:contextualSpacing/>
              <w:jc w:val="right"/>
              <w:rPr>
                <w:rFonts w:cs="Arial"/>
                <w:b/>
                <w:szCs w:val="20"/>
              </w:rPr>
            </w:pPr>
            <w:r w:rsidRPr="00382A62">
              <w:rPr>
                <w:rFonts w:cs="Arial"/>
                <w:b/>
                <w:bCs/>
                <w:szCs w:val="20"/>
              </w:rPr>
              <w:t>11.464</w:t>
            </w:r>
          </w:p>
        </w:tc>
        <w:tc>
          <w:tcPr>
            <w:tcW w:w="1555" w:type="dxa"/>
            <w:shd w:val="clear" w:color="auto" w:fill="auto"/>
            <w:vAlign w:val="center"/>
          </w:tcPr>
          <w:p w14:paraId="7950F72B" w14:textId="5374BA8C" w:rsidR="007605E6" w:rsidRPr="00382A62" w:rsidRDefault="007605E6" w:rsidP="00622AB9">
            <w:pPr>
              <w:spacing w:line="276" w:lineRule="auto"/>
              <w:contextualSpacing/>
              <w:jc w:val="right"/>
              <w:rPr>
                <w:rFonts w:cs="Arial"/>
                <w:b/>
                <w:szCs w:val="20"/>
              </w:rPr>
            </w:pPr>
            <w:r w:rsidRPr="00382A62">
              <w:rPr>
                <w:rFonts w:cs="Arial"/>
                <w:b/>
                <w:szCs w:val="20"/>
              </w:rPr>
              <w:t>(</w:t>
            </w:r>
            <w:r w:rsidRPr="00382A62">
              <w:rPr>
                <w:rFonts w:cs="Arial"/>
                <w:b/>
                <w:bCs/>
                <w:szCs w:val="20"/>
              </w:rPr>
              <w:t>1.</w:t>
            </w:r>
            <w:r w:rsidR="00E06BCB" w:rsidRPr="00382A62">
              <w:rPr>
                <w:rFonts w:cs="Arial"/>
                <w:b/>
                <w:bCs/>
                <w:szCs w:val="20"/>
              </w:rPr>
              <w:t>099</w:t>
            </w:r>
            <w:r w:rsidRPr="00382A62">
              <w:rPr>
                <w:rFonts w:cs="Arial"/>
                <w:b/>
                <w:szCs w:val="20"/>
              </w:rPr>
              <w:t>)</w:t>
            </w:r>
          </w:p>
        </w:tc>
        <w:tc>
          <w:tcPr>
            <w:tcW w:w="1556" w:type="dxa"/>
            <w:shd w:val="clear" w:color="auto" w:fill="auto"/>
            <w:noWrap/>
            <w:vAlign w:val="center"/>
          </w:tcPr>
          <w:p w14:paraId="322713F3" w14:textId="1D6F26EC" w:rsidR="007605E6" w:rsidRPr="00382A62" w:rsidRDefault="00E06BCB" w:rsidP="00622AB9">
            <w:pPr>
              <w:spacing w:line="276" w:lineRule="auto"/>
              <w:contextualSpacing/>
              <w:jc w:val="right"/>
              <w:rPr>
                <w:rFonts w:cs="Arial"/>
                <w:b/>
                <w:szCs w:val="20"/>
              </w:rPr>
            </w:pPr>
            <w:r w:rsidRPr="00382A62">
              <w:rPr>
                <w:rFonts w:cs="Arial"/>
                <w:b/>
                <w:bCs/>
                <w:szCs w:val="20"/>
              </w:rPr>
              <w:t>134.217</w:t>
            </w:r>
          </w:p>
        </w:tc>
      </w:tr>
    </w:tbl>
    <w:p w14:paraId="3B787C38" w14:textId="77777777" w:rsidR="00333CF8" w:rsidRDefault="00333CF8" w:rsidP="00622AB9">
      <w:pPr>
        <w:pStyle w:val="Ttulo3"/>
        <w:ind w:left="792"/>
        <w:rPr>
          <w:rFonts w:cs="Arial"/>
          <w:sz w:val="20"/>
          <w:szCs w:val="20"/>
        </w:rPr>
      </w:pPr>
      <w:bookmarkStart w:id="134" w:name="_Toc131092885"/>
      <w:bookmarkStart w:id="135" w:name="_Toc131501086"/>
    </w:p>
    <w:p w14:paraId="692D5A4B" w14:textId="3054ACDE" w:rsidR="007605E6" w:rsidRPr="00382A62" w:rsidRDefault="007605E6" w:rsidP="007605E6">
      <w:pPr>
        <w:pStyle w:val="Ttulo3"/>
        <w:numPr>
          <w:ilvl w:val="1"/>
          <w:numId w:val="11"/>
        </w:numPr>
        <w:rPr>
          <w:rFonts w:cs="Arial"/>
          <w:sz w:val="20"/>
          <w:szCs w:val="20"/>
        </w:rPr>
      </w:pPr>
      <w:bookmarkStart w:id="136" w:name="_Toc169624645"/>
      <w:r w:rsidRPr="00382A62">
        <w:rPr>
          <w:rFonts w:cs="Arial"/>
          <w:sz w:val="20"/>
          <w:szCs w:val="20"/>
        </w:rPr>
        <w:t>Estructura organizativa</w:t>
      </w:r>
      <w:bookmarkEnd w:id="134"/>
      <w:bookmarkEnd w:id="135"/>
      <w:bookmarkEnd w:id="136"/>
    </w:p>
    <w:p w14:paraId="0BEDCDA9" w14:textId="77777777" w:rsidR="007605E6" w:rsidRPr="00382A62" w:rsidRDefault="007605E6" w:rsidP="007605E6">
      <w:pPr>
        <w:rPr>
          <w:rFonts w:cs="Arial"/>
          <w:szCs w:val="20"/>
        </w:rPr>
      </w:pPr>
      <w:r w:rsidRPr="00382A62">
        <w:rPr>
          <w:rFonts w:cs="Arial"/>
          <w:szCs w:val="20"/>
        </w:rPr>
        <w:t>La estructura organizativa de la Compañía queda reflejada en el organigrama que se presenta a continuación:</w:t>
      </w:r>
    </w:p>
    <w:p w14:paraId="3CF77AC7" w14:textId="1F8C9E81" w:rsidR="007605E6" w:rsidRPr="00382A62" w:rsidRDefault="007605E6" w:rsidP="007605E6">
      <w:pPr>
        <w:pStyle w:val="Descripcin"/>
        <w:rPr>
          <w:rFonts w:cs="Arial"/>
          <w:szCs w:val="20"/>
        </w:rPr>
      </w:pPr>
      <w:bookmarkStart w:id="137" w:name="_Toc169624727"/>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915ACD" w:rsidRPr="00382A62">
        <w:rPr>
          <w:rFonts w:cs="Arial"/>
          <w:noProof/>
          <w:szCs w:val="20"/>
        </w:rPr>
        <w:t>31</w:t>
      </w:r>
      <w:r w:rsidRPr="00382A62">
        <w:rPr>
          <w:rFonts w:cs="Arial"/>
          <w:noProof/>
          <w:szCs w:val="20"/>
        </w:rPr>
        <w:fldChar w:fldCharType="end"/>
      </w:r>
      <w:r w:rsidRPr="00382A62">
        <w:rPr>
          <w:rFonts w:cs="Arial"/>
          <w:szCs w:val="20"/>
        </w:rPr>
        <w:t xml:space="preserve"> - Detalle de Subsidiarias</w:t>
      </w:r>
      <w:bookmarkEnd w:id="137"/>
    </w:p>
    <w:tbl>
      <w:tblPr>
        <w:tblW w:w="10410" w:type="dxa"/>
        <w:tblInd w:w="80" w:type="dxa"/>
        <w:tblLayout w:type="fixed"/>
        <w:tblCellMar>
          <w:left w:w="80" w:type="dxa"/>
          <w:right w:w="80" w:type="dxa"/>
        </w:tblCellMar>
        <w:tblLook w:val="0000" w:firstRow="0" w:lastRow="0" w:firstColumn="0" w:lastColumn="0" w:noHBand="0" w:noVBand="0"/>
      </w:tblPr>
      <w:tblGrid>
        <w:gridCol w:w="5874"/>
        <w:gridCol w:w="2977"/>
        <w:gridCol w:w="850"/>
        <w:gridCol w:w="709"/>
      </w:tblGrid>
      <w:tr w:rsidR="004003D5" w:rsidRPr="00382A62" w14:paraId="373CF12B" w14:textId="77777777" w:rsidTr="00B468B3">
        <w:trPr>
          <w:cantSplit/>
        </w:trPr>
        <w:tc>
          <w:tcPr>
            <w:tcW w:w="5874" w:type="dxa"/>
            <w:vAlign w:val="bottom"/>
          </w:tcPr>
          <w:p w14:paraId="4467752B" w14:textId="77777777" w:rsidR="004003D5" w:rsidRPr="00382A62" w:rsidRDefault="004003D5" w:rsidP="004003D5">
            <w:pPr>
              <w:keepNext/>
              <w:tabs>
                <w:tab w:val="right" w:pos="900"/>
                <w:tab w:val="left" w:pos="4500"/>
              </w:tabs>
              <w:spacing w:after="0" w:line="240" w:lineRule="auto"/>
              <w:outlineLvl w:val="6"/>
              <w:rPr>
                <w:rFonts w:eastAsia="Calibri" w:cs="Arial"/>
                <w:szCs w:val="20"/>
                <w:u w:val="single"/>
              </w:rPr>
            </w:pPr>
          </w:p>
        </w:tc>
        <w:tc>
          <w:tcPr>
            <w:tcW w:w="2977" w:type="dxa"/>
            <w:vAlign w:val="bottom"/>
          </w:tcPr>
          <w:p w14:paraId="5006D4ED" w14:textId="77777777" w:rsidR="004003D5" w:rsidRPr="00382A62" w:rsidRDefault="004003D5" w:rsidP="004003D5">
            <w:pPr>
              <w:spacing w:after="0" w:line="240" w:lineRule="auto"/>
              <w:ind w:firstLine="10"/>
              <w:jc w:val="center"/>
              <w:rPr>
                <w:rFonts w:eastAsia="Calibri" w:cs="Arial"/>
                <w:szCs w:val="20"/>
              </w:rPr>
            </w:pPr>
          </w:p>
        </w:tc>
        <w:tc>
          <w:tcPr>
            <w:tcW w:w="1559" w:type="dxa"/>
            <w:gridSpan w:val="2"/>
            <w:vAlign w:val="bottom"/>
          </w:tcPr>
          <w:p w14:paraId="31236DED" w14:textId="77777777" w:rsidR="004003D5" w:rsidRPr="00382A62" w:rsidRDefault="004003D5" w:rsidP="004003D5">
            <w:pPr>
              <w:spacing w:after="0" w:line="240" w:lineRule="auto"/>
              <w:ind w:firstLine="10"/>
              <w:jc w:val="center"/>
              <w:rPr>
                <w:rFonts w:eastAsia="Calibri" w:cs="Arial"/>
                <w:b/>
                <w:szCs w:val="20"/>
                <w:u w:val="single"/>
              </w:rPr>
            </w:pPr>
            <w:r w:rsidRPr="00382A62">
              <w:rPr>
                <w:rFonts w:eastAsia="Calibri" w:cs="Arial"/>
                <w:b/>
                <w:szCs w:val="20"/>
                <w:u w:val="single"/>
              </w:rPr>
              <w:t>Porcentaje de participación</w:t>
            </w:r>
          </w:p>
        </w:tc>
      </w:tr>
      <w:tr w:rsidR="00953991" w:rsidRPr="00382A62" w14:paraId="46859144" w14:textId="77777777" w:rsidTr="00B468B3">
        <w:trPr>
          <w:cantSplit/>
        </w:trPr>
        <w:tc>
          <w:tcPr>
            <w:tcW w:w="5874" w:type="dxa"/>
            <w:vAlign w:val="bottom"/>
          </w:tcPr>
          <w:p w14:paraId="37FCD0D1" w14:textId="77777777" w:rsidR="00953991" w:rsidRPr="00382A62" w:rsidRDefault="00953991" w:rsidP="00953991">
            <w:pPr>
              <w:keepNext/>
              <w:tabs>
                <w:tab w:val="right" w:pos="900"/>
                <w:tab w:val="left" w:pos="4500"/>
              </w:tabs>
              <w:spacing w:after="0" w:line="240" w:lineRule="auto"/>
              <w:outlineLvl w:val="6"/>
              <w:rPr>
                <w:rFonts w:eastAsia="Calibri" w:cs="Arial"/>
                <w:b/>
                <w:szCs w:val="20"/>
                <w:u w:val="single"/>
              </w:rPr>
            </w:pPr>
            <w:r w:rsidRPr="00382A62">
              <w:rPr>
                <w:rFonts w:eastAsia="Calibri" w:cs="Arial"/>
                <w:b/>
                <w:szCs w:val="20"/>
                <w:u w:val="single"/>
              </w:rPr>
              <w:t>Subsidiarias y operación conjunta</w:t>
            </w:r>
          </w:p>
        </w:tc>
        <w:tc>
          <w:tcPr>
            <w:tcW w:w="2977" w:type="dxa"/>
            <w:vAlign w:val="bottom"/>
          </w:tcPr>
          <w:p w14:paraId="78E3C5BA" w14:textId="77777777" w:rsidR="00953991" w:rsidRPr="00382A62" w:rsidRDefault="00953991" w:rsidP="00953991">
            <w:pPr>
              <w:spacing w:after="0" w:line="240" w:lineRule="auto"/>
              <w:ind w:right="10"/>
              <w:jc w:val="center"/>
              <w:rPr>
                <w:rFonts w:eastAsia="Calibri" w:cs="Arial"/>
                <w:b/>
                <w:szCs w:val="20"/>
                <w:u w:val="single"/>
              </w:rPr>
            </w:pPr>
            <w:r w:rsidRPr="00382A62">
              <w:rPr>
                <w:rFonts w:eastAsia="Calibri" w:cs="Arial"/>
                <w:b/>
                <w:szCs w:val="20"/>
                <w:u w:val="single"/>
              </w:rPr>
              <w:t>País</w:t>
            </w:r>
          </w:p>
        </w:tc>
        <w:tc>
          <w:tcPr>
            <w:tcW w:w="850" w:type="dxa"/>
            <w:vAlign w:val="bottom"/>
          </w:tcPr>
          <w:p w14:paraId="55256EAC" w14:textId="02E5D8F1" w:rsidR="00953991" w:rsidRPr="00382A62" w:rsidRDefault="00953991" w:rsidP="00953991">
            <w:pPr>
              <w:spacing w:after="0" w:line="240" w:lineRule="auto"/>
              <w:ind w:right="10"/>
              <w:jc w:val="center"/>
              <w:rPr>
                <w:rFonts w:eastAsia="Calibri" w:cs="Arial"/>
                <w:b/>
                <w:szCs w:val="20"/>
                <w:u w:val="single"/>
              </w:rPr>
            </w:pPr>
            <w:r w:rsidRPr="00382A62">
              <w:rPr>
                <w:rFonts w:eastAsia="Calibri" w:cs="Arial"/>
                <w:b/>
                <w:szCs w:val="20"/>
                <w:u w:val="single"/>
              </w:rPr>
              <w:t>202</w:t>
            </w:r>
            <w:r w:rsidR="00C60832">
              <w:rPr>
                <w:rFonts w:eastAsia="Calibri" w:cs="Arial"/>
                <w:b/>
                <w:szCs w:val="20"/>
                <w:u w:val="single"/>
              </w:rPr>
              <w:t>3</w:t>
            </w:r>
          </w:p>
        </w:tc>
        <w:tc>
          <w:tcPr>
            <w:tcW w:w="709" w:type="dxa"/>
            <w:vAlign w:val="bottom"/>
          </w:tcPr>
          <w:p w14:paraId="1813B14D" w14:textId="59232A33" w:rsidR="00953991" w:rsidRPr="00382A62" w:rsidRDefault="00953991" w:rsidP="00953991">
            <w:pPr>
              <w:spacing w:after="0" w:line="240" w:lineRule="auto"/>
              <w:ind w:right="10"/>
              <w:jc w:val="center"/>
              <w:rPr>
                <w:rFonts w:eastAsia="Calibri" w:cs="Arial"/>
                <w:b/>
                <w:szCs w:val="20"/>
                <w:u w:val="single"/>
              </w:rPr>
            </w:pPr>
            <w:r w:rsidRPr="00382A62">
              <w:rPr>
                <w:rFonts w:eastAsia="Calibri" w:cs="Arial"/>
                <w:b/>
                <w:szCs w:val="20"/>
                <w:u w:val="single"/>
              </w:rPr>
              <w:t>202</w:t>
            </w:r>
            <w:r w:rsidR="00C60832">
              <w:rPr>
                <w:rFonts w:eastAsia="Calibri" w:cs="Arial"/>
                <w:b/>
                <w:szCs w:val="20"/>
                <w:u w:val="single"/>
              </w:rPr>
              <w:t>2</w:t>
            </w:r>
          </w:p>
        </w:tc>
      </w:tr>
      <w:tr w:rsidR="00953991" w:rsidRPr="00382A62" w14:paraId="422D5DF5" w14:textId="77777777" w:rsidTr="00B468B3">
        <w:trPr>
          <w:cantSplit/>
        </w:trPr>
        <w:tc>
          <w:tcPr>
            <w:tcW w:w="5874" w:type="dxa"/>
            <w:vAlign w:val="bottom"/>
          </w:tcPr>
          <w:p w14:paraId="0D22C3AF" w14:textId="77777777" w:rsidR="00953991" w:rsidRPr="00382A62" w:rsidRDefault="00953991" w:rsidP="00953991">
            <w:pPr>
              <w:tabs>
                <w:tab w:val="right" w:pos="900"/>
                <w:tab w:val="left" w:pos="4500"/>
              </w:tabs>
              <w:spacing w:after="0" w:line="240" w:lineRule="auto"/>
              <w:ind w:left="100" w:right="-350"/>
              <w:rPr>
                <w:rFonts w:eastAsia="Calibri" w:cs="Arial"/>
                <w:szCs w:val="20"/>
                <w:u w:val="single"/>
              </w:rPr>
            </w:pPr>
            <w:r w:rsidRPr="00382A62">
              <w:rPr>
                <w:rFonts w:eastAsia="Calibri" w:cs="Arial"/>
                <w:szCs w:val="20"/>
                <w:u w:val="single"/>
              </w:rPr>
              <w:t>Distribuidora La Florida, S.A.:</w:t>
            </w:r>
          </w:p>
        </w:tc>
        <w:tc>
          <w:tcPr>
            <w:tcW w:w="2977" w:type="dxa"/>
            <w:vAlign w:val="bottom"/>
          </w:tcPr>
          <w:p w14:paraId="09B9CC39"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Costa Rica</w:t>
            </w:r>
          </w:p>
        </w:tc>
        <w:tc>
          <w:tcPr>
            <w:tcW w:w="850" w:type="dxa"/>
            <w:vAlign w:val="bottom"/>
          </w:tcPr>
          <w:p w14:paraId="37DC4A4C"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 xml:space="preserve"> 75%</w:t>
            </w:r>
          </w:p>
        </w:tc>
        <w:tc>
          <w:tcPr>
            <w:tcW w:w="709" w:type="dxa"/>
            <w:shd w:val="clear" w:color="auto" w:fill="auto"/>
            <w:vAlign w:val="bottom"/>
          </w:tcPr>
          <w:p w14:paraId="191B2A2A" w14:textId="7656D529"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 xml:space="preserve"> 75%</w:t>
            </w:r>
          </w:p>
        </w:tc>
      </w:tr>
      <w:tr w:rsidR="00953991" w:rsidRPr="00382A62" w14:paraId="645CE090" w14:textId="77777777" w:rsidTr="00B468B3">
        <w:trPr>
          <w:cantSplit/>
        </w:trPr>
        <w:tc>
          <w:tcPr>
            <w:tcW w:w="5874" w:type="dxa"/>
            <w:vAlign w:val="bottom"/>
          </w:tcPr>
          <w:p w14:paraId="617A4B88" w14:textId="77777777" w:rsidR="00953991" w:rsidRPr="00382A62" w:rsidRDefault="00953991" w:rsidP="00953991">
            <w:pPr>
              <w:spacing w:after="0" w:line="240" w:lineRule="auto"/>
              <w:ind w:left="261"/>
              <w:rPr>
                <w:rFonts w:eastAsia="Calibri" w:cs="Arial"/>
                <w:szCs w:val="20"/>
              </w:rPr>
            </w:pPr>
            <w:r w:rsidRPr="00382A62">
              <w:rPr>
                <w:rFonts w:eastAsia="Calibri" w:cs="Arial"/>
                <w:szCs w:val="20"/>
              </w:rPr>
              <w:t xml:space="preserve">HA&amp;COM Bebidas del Mundo, S.A. </w:t>
            </w:r>
          </w:p>
        </w:tc>
        <w:tc>
          <w:tcPr>
            <w:tcW w:w="2977" w:type="dxa"/>
            <w:vAlign w:val="bottom"/>
          </w:tcPr>
          <w:p w14:paraId="2BB07DD8"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Costa Rica</w:t>
            </w:r>
          </w:p>
        </w:tc>
        <w:tc>
          <w:tcPr>
            <w:tcW w:w="850" w:type="dxa"/>
            <w:vAlign w:val="bottom"/>
          </w:tcPr>
          <w:p w14:paraId="2CD88E5A"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 xml:space="preserve">  50%</w:t>
            </w:r>
          </w:p>
        </w:tc>
        <w:tc>
          <w:tcPr>
            <w:tcW w:w="709" w:type="dxa"/>
            <w:vAlign w:val="bottom"/>
          </w:tcPr>
          <w:p w14:paraId="0AD9E618" w14:textId="363C7E12"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 xml:space="preserve">  50%</w:t>
            </w:r>
          </w:p>
        </w:tc>
      </w:tr>
      <w:tr w:rsidR="00953991" w:rsidRPr="00382A62" w14:paraId="5BFADFB7" w14:textId="77777777" w:rsidTr="00B468B3">
        <w:trPr>
          <w:cantSplit/>
        </w:trPr>
        <w:tc>
          <w:tcPr>
            <w:tcW w:w="5874" w:type="dxa"/>
            <w:vAlign w:val="bottom"/>
          </w:tcPr>
          <w:p w14:paraId="0EFEC1FA" w14:textId="77777777" w:rsidR="00953991" w:rsidRPr="00382A62" w:rsidRDefault="00953991" w:rsidP="00953991">
            <w:pPr>
              <w:spacing w:after="0" w:line="240" w:lineRule="auto"/>
              <w:ind w:left="261"/>
              <w:rPr>
                <w:rFonts w:eastAsia="Calibri" w:cs="Arial"/>
                <w:szCs w:val="20"/>
              </w:rPr>
            </w:pPr>
            <w:r w:rsidRPr="00382A62">
              <w:rPr>
                <w:rFonts w:eastAsia="Calibri" w:cs="Arial"/>
                <w:szCs w:val="20"/>
              </w:rPr>
              <w:t>Industrias Alimenticias Kern´s y Compañía., S.C.A.</w:t>
            </w:r>
          </w:p>
        </w:tc>
        <w:tc>
          <w:tcPr>
            <w:tcW w:w="2977" w:type="dxa"/>
            <w:vAlign w:val="bottom"/>
          </w:tcPr>
          <w:p w14:paraId="5E6452FC"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Guatemala</w:t>
            </w:r>
          </w:p>
        </w:tc>
        <w:tc>
          <w:tcPr>
            <w:tcW w:w="850" w:type="dxa"/>
            <w:vAlign w:val="bottom"/>
          </w:tcPr>
          <w:p w14:paraId="49D06C1B"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5BD02A7D" w14:textId="5C4EA96A"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3D4BC3AF" w14:textId="77777777" w:rsidTr="00B468B3">
        <w:trPr>
          <w:cantSplit/>
        </w:trPr>
        <w:tc>
          <w:tcPr>
            <w:tcW w:w="5874" w:type="dxa"/>
            <w:vAlign w:val="bottom"/>
          </w:tcPr>
          <w:p w14:paraId="4265554F" w14:textId="77777777" w:rsidR="00953991" w:rsidRPr="00382A62" w:rsidRDefault="00953991" w:rsidP="00953991">
            <w:pPr>
              <w:spacing w:after="0" w:line="240" w:lineRule="auto"/>
              <w:ind w:firstLine="549"/>
              <w:rPr>
                <w:rFonts w:eastAsia="Calibri" w:cs="Arial"/>
                <w:szCs w:val="20"/>
              </w:rPr>
            </w:pPr>
            <w:r w:rsidRPr="00382A62">
              <w:rPr>
                <w:rFonts w:eastAsia="Calibri" w:cs="Arial"/>
                <w:szCs w:val="20"/>
              </w:rPr>
              <w:t>Industrias Alimenticias Kern´s El Salvador, S.A. de C.V.</w:t>
            </w:r>
          </w:p>
        </w:tc>
        <w:tc>
          <w:tcPr>
            <w:tcW w:w="2977" w:type="dxa"/>
            <w:vAlign w:val="bottom"/>
          </w:tcPr>
          <w:p w14:paraId="44868BC5"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El Salvador</w:t>
            </w:r>
          </w:p>
        </w:tc>
        <w:tc>
          <w:tcPr>
            <w:tcW w:w="850" w:type="dxa"/>
            <w:vAlign w:val="bottom"/>
          </w:tcPr>
          <w:p w14:paraId="78ACD6C2"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19B7DAA6" w14:textId="60978FD9"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0C819DC9" w14:textId="77777777" w:rsidTr="00B468B3">
        <w:trPr>
          <w:cantSplit/>
        </w:trPr>
        <w:tc>
          <w:tcPr>
            <w:tcW w:w="5874" w:type="dxa"/>
            <w:vAlign w:val="bottom"/>
          </w:tcPr>
          <w:p w14:paraId="1E9EDEF4" w14:textId="77777777" w:rsidR="00953991" w:rsidRPr="00382A62" w:rsidRDefault="00953991" w:rsidP="00953991">
            <w:pPr>
              <w:spacing w:after="0" w:line="240" w:lineRule="auto"/>
              <w:ind w:left="261"/>
              <w:rPr>
                <w:rFonts w:eastAsia="Calibri" w:cs="Arial"/>
                <w:szCs w:val="20"/>
              </w:rPr>
            </w:pPr>
            <w:r w:rsidRPr="00382A62">
              <w:rPr>
                <w:rFonts w:eastAsia="Calibri" w:cs="Arial"/>
                <w:szCs w:val="20"/>
              </w:rPr>
              <w:t>Florida Foods &amp; Beverages Corp.</w:t>
            </w:r>
          </w:p>
        </w:tc>
        <w:tc>
          <w:tcPr>
            <w:tcW w:w="2977" w:type="dxa"/>
            <w:vAlign w:val="bottom"/>
          </w:tcPr>
          <w:p w14:paraId="4FDBE9F7"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Estados Unidos de América</w:t>
            </w:r>
          </w:p>
        </w:tc>
        <w:tc>
          <w:tcPr>
            <w:tcW w:w="850" w:type="dxa"/>
            <w:vAlign w:val="bottom"/>
          </w:tcPr>
          <w:p w14:paraId="42AB92D4"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4B2CB0A6" w14:textId="27F92DAD"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713AA2E1" w14:textId="77777777" w:rsidTr="00B468B3">
        <w:trPr>
          <w:cantSplit/>
        </w:trPr>
        <w:tc>
          <w:tcPr>
            <w:tcW w:w="5874" w:type="dxa"/>
            <w:vAlign w:val="bottom"/>
          </w:tcPr>
          <w:p w14:paraId="4F31DD46" w14:textId="77777777" w:rsidR="00953991" w:rsidRPr="00382A62" w:rsidRDefault="00953991" w:rsidP="00953991">
            <w:pPr>
              <w:tabs>
                <w:tab w:val="right" w:pos="900"/>
                <w:tab w:val="left" w:pos="4500"/>
              </w:tabs>
              <w:spacing w:after="0" w:line="240" w:lineRule="auto"/>
              <w:ind w:left="266" w:firstLine="141"/>
              <w:rPr>
                <w:rFonts w:eastAsia="Calibri" w:cs="Arial"/>
                <w:szCs w:val="20"/>
              </w:rPr>
            </w:pPr>
            <w:r w:rsidRPr="00382A62">
              <w:rPr>
                <w:rFonts w:eastAsia="Calibri" w:cs="Arial"/>
                <w:szCs w:val="20"/>
              </w:rPr>
              <w:t>Comapan, S.A.</w:t>
            </w:r>
          </w:p>
        </w:tc>
        <w:tc>
          <w:tcPr>
            <w:tcW w:w="2977" w:type="dxa"/>
            <w:vAlign w:val="bottom"/>
          </w:tcPr>
          <w:p w14:paraId="470293AE"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Costa Rica</w:t>
            </w:r>
          </w:p>
        </w:tc>
        <w:tc>
          <w:tcPr>
            <w:tcW w:w="850" w:type="dxa"/>
            <w:vAlign w:val="bottom"/>
          </w:tcPr>
          <w:p w14:paraId="48E85E77"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157CD66C" w14:textId="171DBC88"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558793BF" w14:textId="77777777" w:rsidTr="00B468B3">
        <w:trPr>
          <w:cantSplit/>
        </w:trPr>
        <w:tc>
          <w:tcPr>
            <w:tcW w:w="5874" w:type="dxa"/>
            <w:vAlign w:val="bottom"/>
          </w:tcPr>
          <w:p w14:paraId="71879409" w14:textId="77777777" w:rsidR="00953991" w:rsidRPr="00382A62" w:rsidRDefault="00953991" w:rsidP="00953991">
            <w:pPr>
              <w:tabs>
                <w:tab w:val="left" w:pos="4500"/>
              </w:tabs>
              <w:spacing w:after="0" w:line="240" w:lineRule="auto"/>
              <w:ind w:left="266"/>
              <w:rPr>
                <w:rFonts w:eastAsia="Calibri" w:cs="Arial"/>
                <w:szCs w:val="20"/>
              </w:rPr>
            </w:pPr>
            <w:r w:rsidRPr="00382A62">
              <w:rPr>
                <w:rFonts w:eastAsia="Calibri" w:cs="Arial"/>
                <w:szCs w:val="20"/>
              </w:rPr>
              <w:t>CCR American Holdings, Inc.</w:t>
            </w:r>
          </w:p>
        </w:tc>
        <w:tc>
          <w:tcPr>
            <w:tcW w:w="2977" w:type="dxa"/>
            <w:vAlign w:val="bottom"/>
          </w:tcPr>
          <w:p w14:paraId="794718AC"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Estados Unidos de América</w:t>
            </w:r>
          </w:p>
        </w:tc>
        <w:tc>
          <w:tcPr>
            <w:tcW w:w="850" w:type="dxa"/>
            <w:vAlign w:val="bottom"/>
          </w:tcPr>
          <w:p w14:paraId="378A84FB"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581C6CD2" w14:textId="3C1BFD9D"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499E5F8A" w14:textId="77777777" w:rsidTr="00B468B3">
        <w:trPr>
          <w:cantSplit/>
        </w:trPr>
        <w:tc>
          <w:tcPr>
            <w:tcW w:w="5874" w:type="dxa"/>
            <w:vAlign w:val="bottom"/>
          </w:tcPr>
          <w:p w14:paraId="4D3BEFF6" w14:textId="77777777" w:rsidR="00953991" w:rsidRPr="00382A62" w:rsidRDefault="00953991" w:rsidP="00953991">
            <w:pPr>
              <w:tabs>
                <w:tab w:val="left" w:pos="4500"/>
              </w:tabs>
              <w:spacing w:after="0" w:line="240" w:lineRule="auto"/>
              <w:ind w:left="266" w:firstLine="141"/>
              <w:rPr>
                <w:rFonts w:eastAsia="Calibri" w:cs="Arial"/>
                <w:szCs w:val="20"/>
              </w:rPr>
            </w:pPr>
            <w:r w:rsidRPr="00382A62">
              <w:rPr>
                <w:rFonts w:eastAsia="Calibri" w:cs="Arial"/>
                <w:szCs w:val="20"/>
              </w:rPr>
              <w:t>CCR American Breweries, Inc.:</w:t>
            </w:r>
          </w:p>
        </w:tc>
        <w:tc>
          <w:tcPr>
            <w:tcW w:w="2977" w:type="dxa"/>
            <w:vAlign w:val="bottom"/>
          </w:tcPr>
          <w:p w14:paraId="0F718796"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Estados Unidos de América</w:t>
            </w:r>
          </w:p>
        </w:tc>
        <w:tc>
          <w:tcPr>
            <w:tcW w:w="850" w:type="dxa"/>
            <w:vAlign w:val="bottom"/>
          </w:tcPr>
          <w:p w14:paraId="116B4975"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5BEDB750" w14:textId="79710A30"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13C8FCD6" w14:textId="77777777" w:rsidTr="00B468B3">
        <w:trPr>
          <w:cantSplit/>
        </w:trPr>
        <w:tc>
          <w:tcPr>
            <w:tcW w:w="5874" w:type="dxa"/>
            <w:vAlign w:val="bottom"/>
          </w:tcPr>
          <w:p w14:paraId="5BC4050D" w14:textId="77777777" w:rsidR="00953991" w:rsidRPr="00382A62" w:rsidRDefault="00953991" w:rsidP="00953991">
            <w:pPr>
              <w:tabs>
                <w:tab w:val="left" w:pos="4500"/>
              </w:tabs>
              <w:spacing w:after="0" w:line="240" w:lineRule="auto"/>
              <w:ind w:left="407" w:firstLine="284"/>
              <w:rPr>
                <w:rFonts w:eastAsia="Calibri" w:cs="Arial"/>
                <w:szCs w:val="20"/>
                <w:lang w:val="en-US"/>
              </w:rPr>
            </w:pPr>
            <w:r w:rsidRPr="00382A62">
              <w:rPr>
                <w:rFonts w:eastAsia="Calibri" w:cs="Arial"/>
                <w:szCs w:val="20"/>
                <w:lang w:val="en-US"/>
              </w:rPr>
              <w:t>North American Breweries Holdings, LLC</w:t>
            </w:r>
          </w:p>
        </w:tc>
        <w:tc>
          <w:tcPr>
            <w:tcW w:w="2977" w:type="dxa"/>
            <w:vAlign w:val="bottom"/>
          </w:tcPr>
          <w:p w14:paraId="0A02AE59"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Estados Unidos de América</w:t>
            </w:r>
          </w:p>
        </w:tc>
        <w:tc>
          <w:tcPr>
            <w:tcW w:w="850" w:type="dxa"/>
            <w:vAlign w:val="bottom"/>
          </w:tcPr>
          <w:p w14:paraId="23E75204"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7C423A71" w14:textId="3123F785"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76FA6EB3" w14:textId="77777777" w:rsidTr="00B468B3">
        <w:trPr>
          <w:cantSplit/>
        </w:trPr>
        <w:tc>
          <w:tcPr>
            <w:tcW w:w="5874" w:type="dxa"/>
            <w:vAlign w:val="bottom"/>
          </w:tcPr>
          <w:p w14:paraId="209853EB" w14:textId="77777777" w:rsidR="00953991" w:rsidRPr="00382A62" w:rsidRDefault="00953991" w:rsidP="00953991">
            <w:pPr>
              <w:tabs>
                <w:tab w:val="left" w:pos="4500"/>
              </w:tabs>
              <w:spacing w:after="0" w:line="240" w:lineRule="auto"/>
              <w:ind w:left="407" w:firstLine="562"/>
              <w:rPr>
                <w:rFonts w:eastAsia="Calibri" w:cs="Arial"/>
                <w:szCs w:val="20"/>
                <w:lang w:val="en-US"/>
              </w:rPr>
            </w:pPr>
            <w:r w:rsidRPr="00382A62">
              <w:rPr>
                <w:rFonts w:eastAsia="Calibri" w:cs="Arial"/>
                <w:szCs w:val="20"/>
                <w:lang w:val="en-US"/>
              </w:rPr>
              <w:t>North American Breweries, Inc.</w:t>
            </w:r>
          </w:p>
        </w:tc>
        <w:tc>
          <w:tcPr>
            <w:tcW w:w="2977" w:type="dxa"/>
            <w:vAlign w:val="bottom"/>
          </w:tcPr>
          <w:p w14:paraId="0ED81E5D"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Estados Unidos de América</w:t>
            </w:r>
          </w:p>
        </w:tc>
        <w:tc>
          <w:tcPr>
            <w:tcW w:w="850" w:type="dxa"/>
            <w:vAlign w:val="bottom"/>
          </w:tcPr>
          <w:p w14:paraId="14118DE9"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007DD8FF" w14:textId="3F8B4F79"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70A80992" w14:textId="77777777" w:rsidTr="00B468B3">
        <w:trPr>
          <w:cantSplit/>
        </w:trPr>
        <w:tc>
          <w:tcPr>
            <w:tcW w:w="5874" w:type="dxa"/>
            <w:vAlign w:val="bottom"/>
          </w:tcPr>
          <w:p w14:paraId="0075AE7C" w14:textId="77777777" w:rsidR="00953991" w:rsidRPr="00382A62" w:rsidRDefault="00953991" w:rsidP="00953991">
            <w:pPr>
              <w:tabs>
                <w:tab w:val="left" w:pos="4500"/>
              </w:tabs>
              <w:spacing w:after="0" w:line="240" w:lineRule="auto"/>
              <w:ind w:left="407" w:firstLine="846"/>
              <w:rPr>
                <w:rFonts w:eastAsia="Calibri" w:cs="Arial"/>
                <w:szCs w:val="20"/>
                <w:lang w:val="en-US"/>
              </w:rPr>
            </w:pPr>
            <w:r w:rsidRPr="00382A62">
              <w:rPr>
                <w:rFonts w:eastAsia="Calibri" w:cs="Arial"/>
                <w:szCs w:val="20"/>
                <w:lang w:val="en-US"/>
              </w:rPr>
              <w:t>Labatt USA Operating Co, LLC</w:t>
            </w:r>
          </w:p>
        </w:tc>
        <w:tc>
          <w:tcPr>
            <w:tcW w:w="2977" w:type="dxa"/>
            <w:vAlign w:val="bottom"/>
          </w:tcPr>
          <w:p w14:paraId="3DB387D0"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Estados Unidos de América</w:t>
            </w:r>
          </w:p>
        </w:tc>
        <w:tc>
          <w:tcPr>
            <w:tcW w:w="850" w:type="dxa"/>
          </w:tcPr>
          <w:p w14:paraId="2B6E1C51"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tcPr>
          <w:p w14:paraId="3A4127FE" w14:textId="3B93CE9A"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2FF0F727" w14:textId="77777777" w:rsidTr="00B468B3">
        <w:trPr>
          <w:cantSplit/>
        </w:trPr>
        <w:tc>
          <w:tcPr>
            <w:tcW w:w="5874" w:type="dxa"/>
            <w:vAlign w:val="bottom"/>
          </w:tcPr>
          <w:p w14:paraId="79841F1F" w14:textId="77777777" w:rsidR="00953991" w:rsidRPr="00382A62" w:rsidRDefault="00953991" w:rsidP="00953991">
            <w:pPr>
              <w:tabs>
                <w:tab w:val="left" w:pos="4500"/>
              </w:tabs>
              <w:spacing w:after="0" w:line="240" w:lineRule="auto"/>
              <w:ind w:left="407" w:firstLine="846"/>
              <w:rPr>
                <w:rFonts w:eastAsia="Calibri" w:cs="Arial"/>
                <w:szCs w:val="20"/>
                <w:lang w:val="en-US"/>
              </w:rPr>
            </w:pPr>
            <w:r w:rsidRPr="00382A62">
              <w:rPr>
                <w:rFonts w:eastAsia="Calibri" w:cs="Arial"/>
                <w:szCs w:val="20"/>
                <w:lang w:val="en-US"/>
              </w:rPr>
              <w:t>High Falls Operating Co, LLC</w:t>
            </w:r>
          </w:p>
        </w:tc>
        <w:tc>
          <w:tcPr>
            <w:tcW w:w="2977" w:type="dxa"/>
            <w:vAlign w:val="bottom"/>
          </w:tcPr>
          <w:p w14:paraId="5CAAD67B"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Estados Unidos de América</w:t>
            </w:r>
          </w:p>
        </w:tc>
        <w:tc>
          <w:tcPr>
            <w:tcW w:w="850" w:type="dxa"/>
            <w:vAlign w:val="bottom"/>
          </w:tcPr>
          <w:p w14:paraId="20F30E05"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276D876C" w14:textId="662994F0"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18029CB6" w14:textId="77777777" w:rsidTr="00B468B3">
        <w:trPr>
          <w:cantSplit/>
        </w:trPr>
        <w:tc>
          <w:tcPr>
            <w:tcW w:w="5874" w:type="dxa"/>
            <w:vAlign w:val="bottom"/>
          </w:tcPr>
          <w:p w14:paraId="4A46607E" w14:textId="77777777" w:rsidR="00953991" w:rsidRPr="00382A62" w:rsidRDefault="00953991" w:rsidP="00953991">
            <w:pPr>
              <w:tabs>
                <w:tab w:val="left" w:pos="4500"/>
              </w:tabs>
              <w:spacing w:after="0" w:line="240" w:lineRule="auto"/>
              <w:ind w:left="407" w:firstLine="846"/>
              <w:rPr>
                <w:rFonts w:eastAsia="Calibri" w:cs="Arial"/>
                <w:szCs w:val="20"/>
                <w:lang w:val="en-US"/>
              </w:rPr>
            </w:pPr>
            <w:r w:rsidRPr="00382A62">
              <w:rPr>
                <w:rFonts w:eastAsia="Calibri" w:cs="Arial"/>
                <w:szCs w:val="20"/>
                <w:lang w:val="en-US"/>
              </w:rPr>
              <w:t>Independent Brewers United Corporation</w:t>
            </w:r>
          </w:p>
        </w:tc>
        <w:tc>
          <w:tcPr>
            <w:tcW w:w="2977" w:type="dxa"/>
            <w:vAlign w:val="bottom"/>
          </w:tcPr>
          <w:p w14:paraId="08F0AD00"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Estados Unidos de América</w:t>
            </w:r>
          </w:p>
        </w:tc>
        <w:tc>
          <w:tcPr>
            <w:tcW w:w="850" w:type="dxa"/>
            <w:vAlign w:val="bottom"/>
          </w:tcPr>
          <w:p w14:paraId="142989B5"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18949AC8" w14:textId="121783EE"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416E5B42" w14:textId="77777777" w:rsidTr="00B468B3">
        <w:trPr>
          <w:cantSplit/>
        </w:trPr>
        <w:tc>
          <w:tcPr>
            <w:tcW w:w="5874" w:type="dxa"/>
            <w:vAlign w:val="bottom"/>
          </w:tcPr>
          <w:p w14:paraId="3742B27B" w14:textId="77777777" w:rsidR="00953991" w:rsidRPr="00382A62" w:rsidRDefault="00953991" w:rsidP="00953991">
            <w:pPr>
              <w:tabs>
                <w:tab w:val="left" w:pos="4500"/>
              </w:tabs>
              <w:spacing w:after="0" w:line="240" w:lineRule="auto"/>
              <w:ind w:left="272"/>
              <w:rPr>
                <w:rFonts w:eastAsia="Calibri" w:cs="Arial"/>
                <w:szCs w:val="20"/>
              </w:rPr>
            </w:pPr>
            <w:r w:rsidRPr="00382A62">
              <w:rPr>
                <w:rFonts w:eastAsia="Calibri" w:cs="Arial"/>
                <w:szCs w:val="20"/>
              </w:rPr>
              <w:t>Florida Bebidas y Alimentos Honduras, S.A.</w:t>
            </w:r>
          </w:p>
        </w:tc>
        <w:tc>
          <w:tcPr>
            <w:tcW w:w="2977" w:type="dxa"/>
            <w:vAlign w:val="bottom"/>
          </w:tcPr>
          <w:p w14:paraId="14C5F3A6"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Honduras</w:t>
            </w:r>
          </w:p>
        </w:tc>
        <w:tc>
          <w:tcPr>
            <w:tcW w:w="850" w:type="dxa"/>
            <w:vAlign w:val="bottom"/>
          </w:tcPr>
          <w:p w14:paraId="0920EE6A"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4F671A72" w14:textId="7897B784"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7B30D1A9" w14:textId="77777777" w:rsidTr="00B468B3">
        <w:trPr>
          <w:cantSplit/>
        </w:trPr>
        <w:tc>
          <w:tcPr>
            <w:tcW w:w="5874" w:type="dxa"/>
            <w:vAlign w:val="bottom"/>
          </w:tcPr>
          <w:p w14:paraId="41AFD6A2" w14:textId="77777777" w:rsidR="00953991" w:rsidRPr="00382A62" w:rsidRDefault="00953991" w:rsidP="00953991">
            <w:pPr>
              <w:tabs>
                <w:tab w:val="right" w:pos="900"/>
                <w:tab w:val="left" w:pos="4500"/>
              </w:tabs>
              <w:spacing w:after="0" w:line="240" w:lineRule="auto"/>
              <w:ind w:left="100" w:right="-350"/>
              <w:rPr>
                <w:rFonts w:eastAsia="Calibri" w:cs="Arial"/>
                <w:szCs w:val="20"/>
                <w:u w:val="single"/>
              </w:rPr>
            </w:pPr>
            <w:r w:rsidRPr="00382A62">
              <w:rPr>
                <w:rFonts w:eastAsia="Calibri" w:cs="Arial"/>
                <w:szCs w:val="20"/>
                <w:u w:val="single"/>
              </w:rPr>
              <w:t>Florida Inmobiliaria, S.A.:</w:t>
            </w:r>
          </w:p>
        </w:tc>
        <w:tc>
          <w:tcPr>
            <w:tcW w:w="2977" w:type="dxa"/>
            <w:vAlign w:val="bottom"/>
          </w:tcPr>
          <w:p w14:paraId="11C9CEA9"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Costa Rica</w:t>
            </w:r>
          </w:p>
        </w:tc>
        <w:tc>
          <w:tcPr>
            <w:tcW w:w="850" w:type="dxa"/>
            <w:vAlign w:val="bottom"/>
          </w:tcPr>
          <w:p w14:paraId="0609D9A7"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42EF8E3F" w14:textId="0F6935E6"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72126135" w14:textId="77777777" w:rsidTr="00B468B3">
        <w:trPr>
          <w:cantSplit/>
        </w:trPr>
        <w:tc>
          <w:tcPr>
            <w:tcW w:w="5874" w:type="dxa"/>
            <w:vAlign w:val="bottom"/>
          </w:tcPr>
          <w:p w14:paraId="1AE84B3D" w14:textId="77777777" w:rsidR="00953991" w:rsidRPr="00382A62" w:rsidRDefault="00953991" w:rsidP="00953991">
            <w:pPr>
              <w:tabs>
                <w:tab w:val="right" w:pos="900"/>
                <w:tab w:val="left" w:pos="4500"/>
              </w:tabs>
              <w:spacing w:after="0" w:line="240" w:lineRule="auto"/>
              <w:ind w:left="266"/>
              <w:rPr>
                <w:rFonts w:eastAsia="Calibri" w:cs="Arial"/>
                <w:szCs w:val="20"/>
                <w:lang w:val="en-US"/>
              </w:rPr>
            </w:pPr>
            <w:r w:rsidRPr="00382A62">
              <w:rPr>
                <w:rFonts w:eastAsia="Calibri" w:cs="Arial"/>
                <w:szCs w:val="20"/>
                <w:lang w:val="en-US"/>
              </w:rPr>
              <w:t>Reserva Conchal, S.A.</w:t>
            </w:r>
          </w:p>
        </w:tc>
        <w:tc>
          <w:tcPr>
            <w:tcW w:w="2977" w:type="dxa"/>
            <w:vAlign w:val="bottom"/>
          </w:tcPr>
          <w:p w14:paraId="5C9B2CF7"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Costa Rica</w:t>
            </w:r>
          </w:p>
        </w:tc>
        <w:tc>
          <w:tcPr>
            <w:tcW w:w="850" w:type="dxa"/>
            <w:vAlign w:val="bottom"/>
          </w:tcPr>
          <w:p w14:paraId="4818D659"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7BE3ED45" w14:textId="4B73CA68"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0F0A07A3" w14:textId="77777777" w:rsidTr="00B468B3">
        <w:trPr>
          <w:cantSplit/>
        </w:trPr>
        <w:tc>
          <w:tcPr>
            <w:tcW w:w="5874" w:type="dxa"/>
            <w:vAlign w:val="bottom"/>
          </w:tcPr>
          <w:p w14:paraId="462812E2" w14:textId="77777777" w:rsidR="00953991" w:rsidRPr="00382A62" w:rsidRDefault="00953991" w:rsidP="00953991">
            <w:pPr>
              <w:tabs>
                <w:tab w:val="right" w:pos="900"/>
                <w:tab w:val="left" w:pos="4500"/>
              </w:tabs>
              <w:spacing w:after="0" w:line="240" w:lineRule="auto"/>
              <w:ind w:left="266"/>
              <w:rPr>
                <w:rFonts w:eastAsia="Calibri" w:cs="Arial"/>
                <w:szCs w:val="20"/>
              </w:rPr>
            </w:pPr>
            <w:r w:rsidRPr="00382A62">
              <w:rPr>
                <w:rFonts w:eastAsia="Calibri" w:cs="Arial"/>
                <w:szCs w:val="20"/>
              </w:rPr>
              <w:t>Desarrollos Hoteleros Guanacaste, S.A.</w:t>
            </w:r>
          </w:p>
        </w:tc>
        <w:tc>
          <w:tcPr>
            <w:tcW w:w="2977" w:type="dxa"/>
            <w:vAlign w:val="bottom"/>
          </w:tcPr>
          <w:p w14:paraId="0A693FD9"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Costa Rica</w:t>
            </w:r>
          </w:p>
        </w:tc>
        <w:tc>
          <w:tcPr>
            <w:tcW w:w="850" w:type="dxa"/>
            <w:vAlign w:val="bottom"/>
          </w:tcPr>
          <w:p w14:paraId="02C30FD9"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1043AB29" w14:textId="1DDEC859"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2E62B8EF" w14:textId="77777777" w:rsidTr="00B468B3">
        <w:trPr>
          <w:cantSplit/>
        </w:trPr>
        <w:tc>
          <w:tcPr>
            <w:tcW w:w="5874" w:type="dxa"/>
            <w:vAlign w:val="bottom"/>
          </w:tcPr>
          <w:p w14:paraId="0ED3A420" w14:textId="77777777" w:rsidR="00953991" w:rsidRPr="00382A62" w:rsidRDefault="00953991" w:rsidP="00953991">
            <w:pPr>
              <w:tabs>
                <w:tab w:val="right" w:pos="900"/>
                <w:tab w:val="left" w:pos="4500"/>
              </w:tabs>
              <w:spacing w:after="0" w:line="240" w:lineRule="auto"/>
              <w:ind w:left="266"/>
              <w:rPr>
                <w:rFonts w:eastAsia="Calibri" w:cs="Arial"/>
                <w:szCs w:val="20"/>
              </w:rPr>
            </w:pPr>
            <w:r w:rsidRPr="00382A62">
              <w:rPr>
                <w:rFonts w:eastAsia="Calibri" w:cs="Arial"/>
                <w:szCs w:val="20"/>
              </w:rPr>
              <w:t>República Cervecera, S.A.</w:t>
            </w:r>
          </w:p>
        </w:tc>
        <w:tc>
          <w:tcPr>
            <w:tcW w:w="2977" w:type="dxa"/>
            <w:vAlign w:val="bottom"/>
          </w:tcPr>
          <w:p w14:paraId="684C2408"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Costa Rica</w:t>
            </w:r>
          </w:p>
        </w:tc>
        <w:tc>
          <w:tcPr>
            <w:tcW w:w="850" w:type="dxa"/>
            <w:vAlign w:val="bottom"/>
          </w:tcPr>
          <w:p w14:paraId="4C0F40E4"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60%</w:t>
            </w:r>
          </w:p>
        </w:tc>
        <w:tc>
          <w:tcPr>
            <w:tcW w:w="709" w:type="dxa"/>
            <w:vAlign w:val="bottom"/>
          </w:tcPr>
          <w:p w14:paraId="00393995" w14:textId="7A0AFB85"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60%</w:t>
            </w:r>
          </w:p>
        </w:tc>
      </w:tr>
      <w:tr w:rsidR="00953991" w:rsidRPr="00382A62" w14:paraId="7B49BD2A" w14:textId="77777777" w:rsidTr="00B468B3">
        <w:trPr>
          <w:cantSplit/>
        </w:trPr>
        <w:tc>
          <w:tcPr>
            <w:tcW w:w="5874" w:type="dxa"/>
            <w:vAlign w:val="bottom"/>
          </w:tcPr>
          <w:p w14:paraId="1C5D7E52" w14:textId="77777777" w:rsidR="00953991" w:rsidRPr="00382A62" w:rsidRDefault="00953991" w:rsidP="00953991">
            <w:pPr>
              <w:tabs>
                <w:tab w:val="right" w:pos="900"/>
                <w:tab w:val="left" w:pos="4500"/>
              </w:tabs>
              <w:spacing w:after="0" w:line="240" w:lineRule="auto"/>
              <w:ind w:left="100" w:right="-350"/>
              <w:rPr>
                <w:rFonts w:eastAsia="Calibri" w:cs="Arial"/>
                <w:szCs w:val="20"/>
                <w:u w:val="single"/>
              </w:rPr>
            </w:pPr>
            <w:r w:rsidRPr="00382A62">
              <w:rPr>
                <w:rFonts w:eastAsia="Calibri" w:cs="Arial"/>
                <w:szCs w:val="20"/>
                <w:u w:val="single"/>
              </w:rPr>
              <w:t>Florida Capitales, S.A.:</w:t>
            </w:r>
          </w:p>
        </w:tc>
        <w:tc>
          <w:tcPr>
            <w:tcW w:w="2977" w:type="dxa"/>
            <w:vAlign w:val="bottom"/>
          </w:tcPr>
          <w:p w14:paraId="49C3DB51"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Costa Rica</w:t>
            </w:r>
          </w:p>
        </w:tc>
        <w:tc>
          <w:tcPr>
            <w:tcW w:w="850" w:type="dxa"/>
            <w:vAlign w:val="bottom"/>
          </w:tcPr>
          <w:p w14:paraId="79C18FDC"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11B8D82C" w14:textId="09512BFC"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416F3D96" w14:textId="77777777" w:rsidTr="00B468B3">
        <w:trPr>
          <w:cantSplit/>
        </w:trPr>
        <w:tc>
          <w:tcPr>
            <w:tcW w:w="5874" w:type="dxa"/>
            <w:vAlign w:val="bottom"/>
          </w:tcPr>
          <w:p w14:paraId="56EAE267" w14:textId="77777777" w:rsidR="00953991" w:rsidRPr="00382A62" w:rsidRDefault="00953991" w:rsidP="00953991">
            <w:pPr>
              <w:tabs>
                <w:tab w:val="right" w:pos="900"/>
                <w:tab w:val="left" w:pos="4500"/>
              </w:tabs>
              <w:spacing w:after="0" w:line="240" w:lineRule="auto"/>
              <w:ind w:left="266"/>
              <w:rPr>
                <w:rFonts w:eastAsia="Calibri" w:cs="Arial"/>
                <w:szCs w:val="20"/>
              </w:rPr>
            </w:pPr>
            <w:r w:rsidRPr="00382A62">
              <w:rPr>
                <w:rFonts w:eastAsia="Calibri" w:cs="Arial"/>
                <w:szCs w:val="20"/>
              </w:rPr>
              <w:t>FIFCO México, S.A. de C.V.</w:t>
            </w:r>
          </w:p>
        </w:tc>
        <w:tc>
          <w:tcPr>
            <w:tcW w:w="2977" w:type="dxa"/>
            <w:vAlign w:val="bottom"/>
          </w:tcPr>
          <w:p w14:paraId="0BFC63DC"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México</w:t>
            </w:r>
          </w:p>
        </w:tc>
        <w:tc>
          <w:tcPr>
            <w:tcW w:w="850" w:type="dxa"/>
            <w:vAlign w:val="bottom"/>
          </w:tcPr>
          <w:p w14:paraId="6C8FAB9D"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5EB784D1" w14:textId="4D868A5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76C4524B" w14:textId="77777777" w:rsidTr="00B468B3">
        <w:trPr>
          <w:cantSplit/>
        </w:trPr>
        <w:tc>
          <w:tcPr>
            <w:tcW w:w="5874" w:type="dxa"/>
            <w:vAlign w:val="bottom"/>
          </w:tcPr>
          <w:p w14:paraId="639A8067" w14:textId="77777777" w:rsidR="00953991" w:rsidRPr="00382A62" w:rsidRDefault="00953991" w:rsidP="00953991">
            <w:pPr>
              <w:tabs>
                <w:tab w:val="right" w:pos="900"/>
                <w:tab w:val="left" w:pos="4500"/>
              </w:tabs>
              <w:spacing w:after="0" w:line="240" w:lineRule="auto"/>
              <w:ind w:left="266"/>
              <w:rPr>
                <w:rFonts w:eastAsia="Calibri" w:cs="Arial"/>
                <w:szCs w:val="20"/>
                <w:lang w:val="en-US"/>
              </w:rPr>
            </w:pPr>
            <w:r w:rsidRPr="00382A62">
              <w:rPr>
                <w:rFonts w:eastAsia="Calibri" w:cs="Arial"/>
                <w:szCs w:val="20"/>
                <w:lang w:val="en-US"/>
              </w:rPr>
              <w:t>London Overseas, Inc.</w:t>
            </w:r>
          </w:p>
        </w:tc>
        <w:tc>
          <w:tcPr>
            <w:tcW w:w="2977" w:type="dxa"/>
            <w:vAlign w:val="bottom"/>
          </w:tcPr>
          <w:p w14:paraId="393CD240"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Gran Caimán</w:t>
            </w:r>
          </w:p>
        </w:tc>
        <w:tc>
          <w:tcPr>
            <w:tcW w:w="850" w:type="dxa"/>
            <w:vAlign w:val="bottom"/>
          </w:tcPr>
          <w:p w14:paraId="6D5AAB20"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4A63EE93" w14:textId="76313BC3"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60F90194" w14:textId="77777777" w:rsidTr="00B468B3">
        <w:trPr>
          <w:cantSplit/>
        </w:trPr>
        <w:tc>
          <w:tcPr>
            <w:tcW w:w="5874" w:type="dxa"/>
            <w:vAlign w:val="bottom"/>
          </w:tcPr>
          <w:p w14:paraId="6495FFBB" w14:textId="77777777" w:rsidR="00953991" w:rsidRPr="00382A62" w:rsidRDefault="00953991" w:rsidP="00953991">
            <w:pPr>
              <w:tabs>
                <w:tab w:val="right" w:pos="900"/>
                <w:tab w:val="left" w:pos="4500"/>
              </w:tabs>
              <w:spacing w:after="0" w:line="240" w:lineRule="auto"/>
              <w:ind w:left="266" w:firstLine="136"/>
              <w:rPr>
                <w:rFonts w:eastAsia="Calibri" w:cs="Arial"/>
                <w:szCs w:val="20"/>
              </w:rPr>
            </w:pPr>
            <w:r w:rsidRPr="00382A62">
              <w:rPr>
                <w:rFonts w:eastAsia="Calibri" w:cs="Arial"/>
                <w:szCs w:val="20"/>
              </w:rPr>
              <w:t>Aero Servicios La Florida ASF, S.A.</w:t>
            </w:r>
          </w:p>
        </w:tc>
        <w:tc>
          <w:tcPr>
            <w:tcW w:w="2977" w:type="dxa"/>
            <w:vAlign w:val="bottom"/>
          </w:tcPr>
          <w:p w14:paraId="698085C4"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Costa Rica</w:t>
            </w:r>
          </w:p>
        </w:tc>
        <w:tc>
          <w:tcPr>
            <w:tcW w:w="850" w:type="dxa"/>
            <w:vAlign w:val="bottom"/>
          </w:tcPr>
          <w:p w14:paraId="0298B26F"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3701F3F6" w14:textId="64FB033B"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68704124" w14:textId="77777777" w:rsidTr="00B468B3">
        <w:trPr>
          <w:cantSplit/>
        </w:trPr>
        <w:tc>
          <w:tcPr>
            <w:tcW w:w="5874" w:type="dxa"/>
            <w:vAlign w:val="bottom"/>
          </w:tcPr>
          <w:p w14:paraId="4BBE7A1C" w14:textId="77777777" w:rsidR="00953991" w:rsidRPr="00382A62" w:rsidRDefault="00953991" w:rsidP="00953991">
            <w:pPr>
              <w:tabs>
                <w:tab w:val="right" w:pos="900"/>
                <w:tab w:val="left" w:pos="4500"/>
              </w:tabs>
              <w:spacing w:after="0" w:line="240" w:lineRule="auto"/>
              <w:ind w:left="266" w:firstLine="278"/>
              <w:rPr>
                <w:rFonts w:eastAsia="Calibri" w:cs="Arial"/>
                <w:szCs w:val="20"/>
                <w:lang w:val="en-US"/>
              </w:rPr>
            </w:pPr>
            <w:r w:rsidRPr="00382A62">
              <w:rPr>
                <w:rFonts w:eastAsia="Calibri" w:cs="Arial"/>
                <w:szCs w:val="20"/>
                <w:lang w:val="en-US"/>
              </w:rPr>
              <w:t>Florida Falcon Holding, Inc.</w:t>
            </w:r>
          </w:p>
        </w:tc>
        <w:tc>
          <w:tcPr>
            <w:tcW w:w="2977" w:type="dxa"/>
            <w:vAlign w:val="bottom"/>
          </w:tcPr>
          <w:p w14:paraId="655F5ADD"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Estados Unidos de América</w:t>
            </w:r>
          </w:p>
        </w:tc>
        <w:tc>
          <w:tcPr>
            <w:tcW w:w="850" w:type="dxa"/>
            <w:vAlign w:val="bottom"/>
          </w:tcPr>
          <w:p w14:paraId="162DB032" w14:textId="5844BD22" w:rsidR="00953991" w:rsidRPr="00382A62" w:rsidRDefault="00C87B38" w:rsidP="00C87B38">
            <w:pPr>
              <w:pStyle w:val="Prrafodelista"/>
              <w:numPr>
                <w:ilvl w:val="0"/>
                <w:numId w:val="51"/>
              </w:numPr>
              <w:tabs>
                <w:tab w:val="left" w:pos="31"/>
                <w:tab w:val="left" w:pos="243"/>
              </w:tabs>
              <w:spacing w:after="0" w:line="240" w:lineRule="auto"/>
              <w:ind w:right="10"/>
              <w:jc w:val="right"/>
              <w:rPr>
                <w:rFonts w:eastAsia="Calibri" w:cs="Arial"/>
                <w:szCs w:val="20"/>
              </w:rPr>
            </w:pPr>
            <w:r w:rsidRPr="00382A62">
              <w:rPr>
                <w:rFonts w:eastAsia="Calibri" w:cs="Arial"/>
                <w:szCs w:val="20"/>
              </w:rPr>
              <w:t xml:space="preserve"> </w:t>
            </w:r>
          </w:p>
        </w:tc>
        <w:tc>
          <w:tcPr>
            <w:tcW w:w="709" w:type="dxa"/>
            <w:vAlign w:val="bottom"/>
          </w:tcPr>
          <w:p w14:paraId="71CD34D2" w14:textId="0495F40F"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bl>
    <w:p w14:paraId="21A0E717" w14:textId="77777777" w:rsidR="005B089E" w:rsidRDefault="005B089E" w:rsidP="007605E6">
      <w:pPr>
        <w:spacing w:line="240" w:lineRule="auto"/>
        <w:rPr>
          <w:rFonts w:cs="Arial"/>
          <w:color w:val="7F7F7F" w:themeColor="text1" w:themeTint="80"/>
          <w:szCs w:val="20"/>
        </w:rPr>
      </w:pPr>
    </w:p>
    <w:p w14:paraId="653C7566" w14:textId="06839683" w:rsidR="007605E6" w:rsidRPr="00382A62" w:rsidRDefault="007605E6" w:rsidP="007605E6">
      <w:pPr>
        <w:spacing w:line="240" w:lineRule="auto"/>
        <w:rPr>
          <w:rFonts w:cs="Arial"/>
          <w:color w:val="7F7F7F" w:themeColor="text1" w:themeTint="80"/>
          <w:szCs w:val="20"/>
        </w:rPr>
      </w:pPr>
      <w:r w:rsidRPr="00382A62">
        <w:rPr>
          <w:rFonts w:cs="Arial"/>
          <w:color w:val="7F7F7F" w:themeColor="text1" w:themeTint="80"/>
          <w:szCs w:val="20"/>
        </w:rPr>
        <w:t xml:space="preserve">Nota: El organigrama de la empresa se muestra mediante el listado anterior, ya que es la forma de representación </w:t>
      </w:r>
      <w:r w:rsidR="0099549C">
        <w:rPr>
          <w:rFonts w:cs="Arial"/>
          <w:color w:val="7F7F7F" w:themeColor="text1" w:themeTint="80"/>
          <w:szCs w:val="20"/>
        </w:rPr>
        <w:t xml:space="preserve">que se considera </w:t>
      </w:r>
      <w:r w:rsidRPr="00382A62">
        <w:rPr>
          <w:rFonts w:cs="Arial"/>
          <w:color w:val="7F7F7F" w:themeColor="text1" w:themeTint="80"/>
          <w:szCs w:val="20"/>
        </w:rPr>
        <w:t>más adecuada para que el inversionista comprenda la estructura organizacional de Florida Ice and Farm Company, S.A.</w:t>
      </w:r>
    </w:p>
    <w:p w14:paraId="5B70A53E" w14:textId="77777777" w:rsidR="007605E6" w:rsidRPr="00382A62" w:rsidRDefault="007605E6" w:rsidP="007605E6">
      <w:pPr>
        <w:rPr>
          <w:rFonts w:cs="Arial"/>
          <w:szCs w:val="20"/>
        </w:rPr>
      </w:pPr>
      <w:r w:rsidRPr="00382A62">
        <w:rPr>
          <w:rFonts w:cs="Arial"/>
          <w:szCs w:val="20"/>
        </w:rPr>
        <w:lastRenderedPageBreak/>
        <w:t>La Compañía mantiene un acuerdo para HA&amp;COM Bebidas del Mundo, S.A. en donde dos partes tienen control de la entidad. Tal acuerdo se clasifica como operación conjunta de conformidad con los derechos de la entidad a los activos y obligaciones por los pasivos del acuerdo.</w:t>
      </w:r>
    </w:p>
    <w:p w14:paraId="0B80178A" w14:textId="4D890D19" w:rsidR="007605E6" w:rsidRDefault="007605E6" w:rsidP="007605E6">
      <w:pPr>
        <w:rPr>
          <w:rFonts w:cs="Arial"/>
          <w:szCs w:val="20"/>
        </w:rPr>
      </w:pPr>
      <w:r w:rsidRPr="00382A62">
        <w:rPr>
          <w:rFonts w:cs="Arial"/>
          <w:szCs w:val="20"/>
        </w:rPr>
        <w:t>Las compañías: Empresas Comegua, S.A.; NBH, S.A.; Cervecería Panamá, S.A. y Desarrollos Inmobiliarios Aromo RTL, S.A., son empresas “asociadas” de FIFCO. La participación accionaria es inferior al 50% en cada una de ellas, a excepción de NBH, S.A. donde se cuenta con una participación del 75%. Además, por la dimensión de la inversión y tener influencia significativa, las Normas Internacionales de Información Financiera (NIIF’s) permiten la consolidación de las empresas asociadas por el método de “Participación Patrimonial”, procedimiento que se aplica para todas ellas en los estados financieros.</w:t>
      </w:r>
    </w:p>
    <w:p w14:paraId="4C13BEB5" w14:textId="77777777" w:rsidR="007605E6" w:rsidRPr="00382A62" w:rsidRDefault="007605E6" w:rsidP="007605E6">
      <w:pPr>
        <w:pStyle w:val="Ttulo3"/>
        <w:numPr>
          <w:ilvl w:val="1"/>
          <w:numId w:val="11"/>
        </w:numPr>
        <w:rPr>
          <w:rFonts w:cs="Arial"/>
          <w:sz w:val="20"/>
          <w:szCs w:val="20"/>
        </w:rPr>
      </w:pPr>
      <w:bookmarkStart w:id="138" w:name="_Toc131092886"/>
      <w:bookmarkStart w:id="139" w:name="_Toc131501087"/>
      <w:bookmarkStart w:id="140" w:name="_Toc169624646"/>
      <w:r w:rsidRPr="00382A62">
        <w:rPr>
          <w:rFonts w:cs="Arial"/>
          <w:sz w:val="20"/>
          <w:szCs w:val="20"/>
        </w:rPr>
        <w:t>Propiedades, planta y equipo</w:t>
      </w:r>
      <w:bookmarkEnd w:id="138"/>
      <w:bookmarkEnd w:id="139"/>
      <w:bookmarkEnd w:id="140"/>
    </w:p>
    <w:p w14:paraId="2C87FAB9" w14:textId="77777777" w:rsidR="007605E6" w:rsidRPr="00382A62" w:rsidRDefault="007605E6" w:rsidP="007605E6">
      <w:pPr>
        <w:pStyle w:val="Prrafodelista"/>
        <w:numPr>
          <w:ilvl w:val="0"/>
          <w:numId w:val="24"/>
        </w:numPr>
        <w:rPr>
          <w:rFonts w:eastAsia="Arial" w:cs="Arial"/>
          <w:b/>
          <w:szCs w:val="20"/>
        </w:rPr>
      </w:pPr>
      <w:r w:rsidRPr="00382A62">
        <w:rPr>
          <w:rFonts w:eastAsia="Arial" w:cs="Arial"/>
          <w:b/>
          <w:szCs w:val="20"/>
        </w:rPr>
        <w:t>Plantas</w:t>
      </w:r>
    </w:p>
    <w:p w14:paraId="77AA644B" w14:textId="55ADB42F" w:rsidR="007605E6" w:rsidRPr="00382A62" w:rsidRDefault="007605E6" w:rsidP="007605E6">
      <w:pPr>
        <w:rPr>
          <w:rFonts w:cs="Arial"/>
          <w:szCs w:val="20"/>
        </w:rPr>
      </w:pPr>
      <w:r w:rsidRPr="00382A62">
        <w:rPr>
          <w:rFonts w:cs="Arial"/>
          <w:szCs w:val="20"/>
        </w:rPr>
        <w:t xml:space="preserve">FIFCO posee cuatro plantas de producción en Centroamérica según la naturaleza del producto (cerveza, refrescos naturales y aguas, néctares, alimentos y refrescos gaseosos). Además, tiene </w:t>
      </w:r>
      <w:r w:rsidR="00306F63" w:rsidRPr="00382A62">
        <w:rPr>
          <w:rFonts w:cs="Arial"/>
          <w:szCs w:val="20"/>
        </w:rPr>
        <w:t xml:space="preserve">una </w:t>
      </w:r>
      <w:r w:rsidRPr="00382A62">
        <w:rPr>
          <w:rFonts w:cs="Arial"/>
          <w:szCs w:val="20"/>
        </w:rPr>
        <w:t>planta para FIFCO USA, ubicada en Estados Unidos de América.</w:t>
      </w:r>
    </w:p>
    <w:p w14:paraId="5ED69053" w14:textId="77777777" w:rsidR="007605E6" w:rsidRDefault="007605E6" w:rsidP="007605E6">
      <w:pPr>
        <w:rPr>
          <w:rFonts w:cs="Arial"/>
          <w:szCs w:val="20"/>
        </w:rPr>
      </w:pPr>
      <w:r w:rsidRPr="00382A62">
        <w:rPr>
          <w:rFonts w:cs="Arial"/>
          <w:b/>
          <w:bCs/>
          <w:szCs w:val="20"/>
        </w:rPr>
        <w:t>Planta de Producción #1:</w:t>
      </w:r>
      <w:r w:rsidRPr="00382A62">
        <w:rPr>
          <w:rFonts w:cs="Arial"/>
          <w:szCs w:val="20"/>
        </w:rPr>
        <w:t xml:space="preserve"> Se encuentra ubicada en el cantón de Belén, en la provincia de Heredia, Costa Rica y cuenta con una dimensión 201.974 m2. Destinada a la elaboración de productos con contenido alcohólico, como cervezas y BAS. La capacidad instalada en cajas equivalentes se muestra a continuación:</w:t>
      </w:r>
    </w:p>
    <w:p w14:paraId="79B6D1EB" w14:textId="77777777" w:rsidR="00540498" w:rsidRPr="00382A62" w:rsidRDefault="00540498" w:rsidP="007605E6">
      <w:pPr>
        <w:rPr>
          <w:rFonts w:cs="Arial"/>
          <w:szCs w:val="20"/>
        </w:rPr>
      </w:pPr>
    </w:p>
    <w:p w14:paraId="686B9C63" w14:textId="1A462FBE" w:rsidR="007605E6" w:rsidRPr="00382A62" w:rsidRDefault="007605E6" w:rsidP="007605E6">
      <w:pPr>
        <w:pStyle w:val="Descripcin"/>
        <w:rPr>
          <w:rFonts w:cs="Arial"/>
          <w:szCs w:val="20"/>
        </w:rPr>
      </w:pPr>
      <w:bookmarkStart w:id="141" w:name="_Toc169624728"/>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32</w:t>
      </w:r>
      <w:r w:rsidR="00423C23" w:rsidRPr="00382A62">
        <w:rPr>
          <w:rFonts w:cs="Arial"/>
          <w:noProof/>
          <w:szCs w:val="20"/>
        </w:rPr>
        <w:fldChar w:fldCharType="end"/>
      </w:r>
      <w:r w:rsidRPr="00382A62">
        <w:rPr>
          <w:rFonts w:cs="Arial"/>
          <w:szCs w:val="20"/>
        </w:rPr>
        <w:t xml:space="preserve"> - Capacidad instalada de Planta de Producción #1</w:t>
      </w:r>
      <w:bookmarkEnd w:id="141"/>
    </w:p>
    <w:tbl>
      <w:tblPr>
        <w:tblStyle w:val="Tablaconcuadrculaclara"/>
        <w:tblW w:w="9209" w:type="dxa"/>
        <w:jc w:val="center"/>
        <w:tblLayout w:type="fixed"/>
        <w:tblLook w:val="04A0" w:firstRow="1" w:lastRow="0" w:firstColumn="1" w:lastColumn="0" w:noHBand="0" w:noVBand="1"/>
      </w:tblPr>
      <w:tblGrid>
        <w:gridCol w:w="3535"/>
        <w:gridCol w:w="2837"/>
        <w:gridCol w:w="2801"/>
        <w:gridCol w:w="36"/>
      </w:tblGrid>
      <w:tr w:rsidR="007605E6" w:rsidRPr="00382A62" w14:paraId="0DFD24E0" w14:textId="77777777" w:rsidTr="007D00B2">
        <w:trPr>
          <w:gridAfter w:val="1"/>
          <w:wAfter w:w="36" w:type="dxa"/>
          <w:trHeight w:val="334"/>
          <w:jc w:val="center"/>
        </w:trPr>
        <w:tc>
          <w:tcPr>
            <w:tcW w:w="3535" w:type="dxa"/>
            <w:shd w:val="clear" w:color="auto" w:fill="F2F2F2" w:themeFill="background1" w:themeFillShade="F2"/>
            <w:noWrap/>
            <w:hideMark/>
          </w:tcPr>
          <w:p w14:paraId="035B72D0" w14:textId="77777777" w:rsidR="007605E6" w:rsidRPr="00382A62" w:rsidRDefault="007605E6" w:rsidP="007D00B2">
            <w:pPr>
              <w:spacing w:line="240" w:lineRule="auto"/>
              <w:jc w:val="center"/>
              <w:rPr>
                <w:rFonts w:eastAsia="Times New Roman" w:cs="Arial"/>
                <w:szCs w:val="20"/>
                <w:lang w:eastAsia="es-ES_tradnl"/>
              </w:rPr>
            </w:pPr>
            <w:bookmarkStart w:id="142" w:name="_Hlk94683336"/>
            <w:r w:rsidRPr="00382A62">
              <w:rPr>
                <w:rFonts w:eastAsia="Times New Roman" w:cs="Arial"/>
                <w:b/>
                <w:bCs/>
                <w:szCs w:val="20"/>
                <w:lang w:eastAsia="es-ES_tradnl"/>
              </w:rPr>
              <w:t>Líne</w:t>
            </w:r>
            <w:r w:rsidRPr="00382A62">
              <w:rPr>
                <w:rFonts w:eastAsia="Times New Roman" w:cs="Arial"/>
                <w:b/>
                <w:bCs/>
                <w:color w:val="000000"/>
                <w:szCs w:val="20"/>
                <w:lang w:eastAsia="es-ES_tradnl"/>
              </w:rPr>
              <w:t>a</w:t>
            </w:r>
          </w:p>
        </w:tc>
        <w:tc>
          <w:tcPr>
            <w:tcW w:w="2837" w:type="dxa"/>
            <w:shd w:val="clear" w:color="auto" w:fill="F2F2F2" w:themeFill="background1" w:themeFillShade="F2"/>
            <w:hideMark/>
          </w:tcPr>
          <w:p w14:paraId="665037CD" w14:textId="77777777" w:rsidR="007605E6" w:rsidRPr="00382A62" w:rsidRDefault="007605E6" w:rsidP="007D00B2">
            <w:pPr>
              <w:spacing w:line="240" w:lineRule="auto"/>
              <w:jc w:val="center"/>
              <w:rPr>
                <w:rFonts w:eastAsia="Times New Roman" w:cs="Arial"/>
                <w:b/>
                <w:bCs/>
                <w:szCs w:val="20"/>
                <w:lang w:eastAsia="es-ES_tradnl"/>
              </w:rPr>
            </w:pPr>
            <w:r w:rsidRPr="00382A62">
              <w:rPr>
                <w:rFonts w:eastAsia="Times New Roman" w:cs="Arial"/>
                <w:b/>
                <w:bCs/>
                <w:szCs w:val="20"/>
                <w:lang w:eastAsia="es-ES_tradnl"/>
              </w:rPr>
              <w:t>Capacidad instalada (HL/año)</w:t>
            </w:r>
          </w:p>
        </w:tc>
        <w:tc>
          <w:tcPr>
            <w:tcW w:w="2801" w:type="dxa"/>
            <w:shd w:val="clear" w:color="auto" w:fill="F2F2F2" w:themeFill="background1" w:themeFillShade="F2"/>
            <w:hideMark/>
          </w:tcPr>
          <w:p w14:paraId="2E79B40D" w14:textId="2E8D78F9" w:rsidR="007605E6" w:rsidRPr="00382A62" w:rsidRDefault="007605E6" w:rsidP="007D00B2">
            <w:pPr>
              <w:spacing w:line="240" w:lineRule="auto"/>
              <w:jc w:val="center"/>
              <w:rPr>
                <w:rFonts w:eastAsia="Times New Roman" w:cs="Arial"/>
                <w:b/>
                <w:bCs/>
                <w:szCs w:val="20"/>
                <w:lang w:eastAsia="es-ES"/>
              </w:rPr>
            </w:pPr>
            <w:r w:rsidRPr="00382A62">
              <w:rPr>
                <w:rFonts w:eastAsia="Times New Roman" w:cs="Arial"/>
                <w:b/>
                <w:bCs/>
                <w:szCs w:val="20"/>
                <w:lang w:eastAsia="es-ES"/>
              </w:rPr>
              <w:t>% de Utilización 202</w:t>
            </w:r>
            <w:r w:rsidR="0033661B" w:rsidRPr="00382A62">
              <w:rPr>
                <w:rFonts w:eastAsia="Times New Roman" w:cs="Arial"/>
                <w:b/>
                <w:bCs/>
                <w:szCs w:val="20"/>
                <w:lang w:eastAsia="es-ES"/>
              </w:rPr>
              <w:t>3</w:t>
            </w:r>
          </w:p>
        </w:tc>
      </w:tr>
      <w:tr w:rsidR="00CD29B6" w:rsidRPr="00382A62" w14:paraId="3A8FA6B3" w14:textId="77777777" w:rsidTr="007D00B2">
        <w:trPr>
          <w:trHeight w:val="334"/>
          <w:jc w:val="center"/>
        </w:trPr>
        <w:tc>
          <w:tcPr>
            <w:tcW w:w="3535" w:type="dxa"/>
            <w:noWrap/>
            <w:hideMark/>
          </w:tcPr>
          <w:p w14:paraId="437C6A29" w14:textId="752ADB29" w:rsidR="00CD29B6" w:rsidRPr="00382A62" w:rsidRDefault="00CD29B6" w:rsidP="00CD29B6">
            <w:pPr>
              <w:spacing w:line="240" w:lineRule="auto"/>
              <w:jc w:val="left"/>
              <w:rPr>
                <w:rFonts w:eastAsia="Times New Roman" w:cs="Arial"/>
                <w:color w:val="000000"/>
                <w:szCs w:val="20"/>
                <w:highlight w:val="yellow"/>
                <w:lang w:eastAsia="es-CR"/>
              </w:rPr>
            </w:pPr>
            <w:r w:rsidRPr="00382A62">
              <w:rPr>
                <w:rFonts w:cs="Arial"/>
                <w:szCs w:val="20"/>
              </w:rPr>
              <w:t>Línea 1 Vidrio</w:t>
            </w:r>
          </w:p>
        </w:tc>
        <w:tc>
          <w:tcPr>
            <w:tcW w:w="2837" w:type="dxa"/>
            <w:noWrap/>
            <w:hideMark/>
          </w:tcPr>
          <w:p w14:paraId="170176FF" w14:textId="4E3A0774" w:rsidR="00CD29B6" w:rsidRPr="00382A62" w:rsidRDefault="00CD29B6" w:rsidP="00CD29B6">
            <w:pPr>
              <w:spacing w:line="240" w:lineRule="auto"/>
              <w:jc w:val="center"/>
              <w:rPr>
                <w:rFonts w:cs="Arial"/>
                <w:szCs w:val="20"/>
                <w:highlight w:val="yellow"/>
              </w:rPr>
            </w:pPr>
            <w:r w:rsidRPr="00382A62">
              <w:rPr>
                <w:rFonts w:cs="Arial"/>
                <w:szCs w:val="20"/>
              </w:rPr>
              <w:t>293,490.68</w:t>
            </w:r>
          </w:p>
        </w:tc>
        <w:tc>
          <w:tcPr>
            <w:tcW w:w="2837" w:type="dxa"/>
            <w:gridSpan w:val="2"/>
            <w:noWrap/>
            <w:hideMark/>
          </w:tcPr>
          <w:p w14:paraId="2E3ECEC8" w14:textId="6B9694C7" w:rsidR="00CD29B6" w:rsidRPr="00382A62" w:rsidRDefault="00CD29B6" w:rsidP="00CD29B6">
            <w:pPr>
              <w:spacing w:line="240" w:lineRule="auto"/>
              <w:jc w:val="center"/>
              <w:rPr>
                <w:rFonts w:eastAsia="Times New Roman" w:cs="Arial"/>
                <w:color w:val="000000"/>
                <w:szCs w:val="20"/>
                <w:highlight w:val="yellow"/>
                <w:lang w:eastAsia="es-CR"/>
              </w:rPr>
            </w:pPr>
            <w:r w:rsidRPr="00382A62">
              <w:rPr>
                <w:rFonts w:cs="Arial"/>
                <w:szCs w:val="20"/>
              </w:rPr>
              <w:t>90.86%</w:t>
            </w:r>
          </w:p>
        </w:tc>
      </w:tr>
      <w:tr w:rsidR="00CD29B6" w:rsidRPr="00382A62" w14:paraId="54B3C686" w14:textId="77777777" w:rsidTr="007D00B2">
        <w:trPr>
          <w:trHeight w:val="334"/>
          <w:jc w:val="center"/>
        </w:trPr>
        <w:tc>
          <w:tcPr>
            <w:tcW w:w="3535" w:type="dxa"/>
            <w:noWrap/>
            <w:hideMark/>
          </w:tcPr>
          <w:p w14:paraId="33FAE4EA" w14:textId="648C40FD" w:rsidR="00CD29B6" w:rsidRPr="00382A62" w:rsidRDefault="00CD29B6" w:rsidP="00CD29B6">
            <w:pPr>
              <w:spacing w:line="240" w:lineRule="auto"/>
              <w:jc w:val="left"/>
              <w:rPr>
                <w:rFonts w:eastAsia="Times New Roman" w:cs="Arial"/>
                <w:color w:val="000000"/>
                <w:szCs w:val="20"/>
                <w:highlight w:val="yellow"/>
                <w:lang w:eastAsia="es-CR"/>
              </w:rPr>
            </w:pPr>
            <w:r w:rsidRPr="00382A62">
              <w:rPr>
                <w:rFonts w:cs="Arial"/>
                <w:szCs w:val="20"/>
              </w:rPr>
              <w:t>Línea 2 Vidrio</w:t>
            </w:r>
          </w:p>
        </w:tc>
        <w:tc>
          <w:tcPr>
            <w:tcW w:w="2837" w:type="dxa"/>
            <w:noWrap/>
            <w:hideMark/>
          </w:tcPr>
          <w:p w14:paraId="3B2CAE37" w14:textId="467425AF" w:rsidR="00CD29B6" w:rsidRPr="00382A62" w:rsidRDefault="00CD29B6" w:rsidP="00CD29B6">
            <w:pPr>
              <w:spacing w:line="240" w:lineRule="auto"/>
              <w:jc w:val="center"/>
              <w:rPr>
                <w:rFonts w:eastAsia="Times New Roman" w:cs="Arial"/>
                <w:color w:val="000000"/>
                <w:szCs w:val="20"/>
                <w:highlight w:val="yellow"/>
                <w:lang w:eastAsia="es-CR"/>
              </w:rPr>
            </w:pPr>
            <w:r w:rsidRPr="00382A62">
              <w:rPr>
                <w:rFonts w:cs="Arial"/>
                <w:szCs w:val="20"/>
              </w:rPr>
              <w:t>540,889.28</w:t>
            </w:r>
          </w:p>
        </w:tc>
        <w:tc>
          <w:tcPr>
            <w:tcW w:w="2837" w:type="dxa"/>
            <w:gridSpan w:val="2"/>
            <w:noWrap/>
            <w:hideMark/>
          </w:tcPr>
          <w:p w14:paraId="3C243937" w14:textId="7182DE17" w:rsidR="00CD29B6" w:rsidRPr="00382A62" w:rsidRDefault="00CD29B6" w:rsidP="00CD29B6">
            <w:pPr>
              <w:spacing w:line="240" w:lineRule="auto"/>
              <w:jc w:val="center"/>
              <w:rPr>
                <w:rFonts w:eastAsia="Times New Roman" w:cs="Arial"/>
                <w:color w:val="000000"/>
                <w:szCs w:val="20"/>
                <w:highlight w:val="yellow"/>
                <w:lang w:eastAsia="es-CR"/>
              </w:rPr>
            </w:pPr>
            <w:r w:rsidRPr="00382A62">
              <w:rPr>
                <w:rFonts w:cs="Arial"/>
                <w:szCs w:val="20"/>
              </w:rPr>
              <w:t>54.14%</w:t>
            </w:r>
          </w:p>
        </w:tc>
      </w:tr>
      <w:tr w:rsidR="00CD29B6" w:rsidRPr="00382A62" w14:paraId="25005926" w14:textId="77777777" w:rsidTr="007D00B2">
        <w:trPr>
          <w:trHeight w:val="334"/>
          <w:jc w:val="center"/>
        </w:trPr>
        <w:tc>
          <w:tcPr>
            <w:tcW w:w="3535" w:type="dxa"/>
            <w:noWrap/>
            <w:hideMark/>
          </w:tcPr>
          <w:p w14:paraId="0FD3F0D4" w14:textId="3E6F1190" w:rsidR="00CD29B6" w:rsidRPr="00382A62" w:rsidRDefault="00CD29B6" w:rsidP="00CD29B6">
            <w:pPr>
              <w:spacing w:line="240" w:lineRule="auto"/>
              <w:jc w:val="left"/>
              <w:rPr>
                <w:rFonts w:eastAsia="Times New Roman" w:cs="Arial"/>
                <w:color w:val="000000"/>
                <w:szCs w:val="20"/>
                <w:highlight w:val="yellow"/>
                <w:lang w:eastAsia="es-CR"/>
              </w:rPr>
            </w:pPr>
            <w:r w:rsidRPr="00382A62">
              <w:rPr>
                <w:rFonts w:cs="Arial"/>
                <w:szCs w:val="20"/>
              </w:rPr>
              <w:t>Línea 3 Vidrio</w:t>
            </w:r>
          </w:p>
        </w:tc>
        <w:tc>
          <w:tcPr>
            <w:tcW w:w="2837" w:type="dxa"/>
            <w:noWrap/>
            <w:hideMark/>
          </w:tcPr>
          <w:p w14:paraId="50CAA8F1" w14:textId="44AD2FBB" w:rsidR="00CD29B6" w:rsidRPr="00382A62" w:rsidRDefault="00CD29B6" w:rsidP="00CD29B6">
            <w:pPr>
              <w:spacing w:line="240" w:lineRule="auto"/>
              <w:jc w:val="center"/>
              <w:rPr>
                <w:rFonts w:eastAsia="Times New Roman" w:cs="Arial"/>
                <w:color w:val="000000"/>
                <w:szCs w:val="20"/>
                <w:highlight w:val="yellow"/>
                <w:lang w:eastAsia="es-CR"/>
              </w:rPr>
            </w:pPr>
            <w:r w:rsidRPr="00382A62">
              <w:rPr>
                <w:rFonts w:cs="Arial"/>
                <w:szCs w:val="20"/>
              </w:rPr>
              <w:t>669,783.89</w:t>
            </w:r>
          </w:p>
        </w:tc>
        <w:tc>
          <w:tcPr>
            <w:tcW w:w="2837" w:type="dxa"/>
            <w:gridSpan w:val="2"/>
            <w:noWrap/>
            <w:hideMark/>
          </w:tcPr>
          <w:p w14:paraId="09BFFAAC" w14:textId="62CD4778" w:rsidR="00CD29B6" w:rsidRPr="00382A62" w:rsidRDefault="00CD29B6" w:rsidP="00CD29B6">
            <w:pPr>
              <w:spacing w:line="240" w:lineRule="auto"/>
              <w:jc w:val="center"/>
              <w:rPr>
                <w:rFonts w:eastAsia="Times New Roman" w:cs="Arial"/>
                <w:color w:val="000000"/>
                <w:szCs w:val="20"/>
                <w:highlight w:val="yellow"/>
                <w:lang w:eastAsia="es-CR"/>
              </w:rPr>
            </w:pPr>
            <w:r w:rsidRPr="00382A62">
              <w:rPr>
                <w:rFonts w:cs="Arial"/>
                <w:szCs w:val="20"/>
              </w:rPr>
              <w:t>92.93%</w:t>
            </w:r>
          </w:p>
        </w:tc>
      </w:tr>
      <w:tr w:rsidR="00CD29B6" w:rsidRPr="00382A62" w14:paraId="0C765D7B" w14:textId="77777777" w:rsidTr="007D00B2">
        <w:trPr>
          <w:trHeight w:val="334"/>
          <w:jc w:val="center"/>
        </w:trPr>
        <w:tc>
          <w:tcPr>
            <w:tcW w:w="3535" w:type="dxa"/>
            <w:noWrap/>
            <w:hideMark/>
          </w:tcPr>
          <w:p w14:paraId="1968D748" w14:textId="2796F9AC" w:rsidR="00CD29B6" w:rsidRPr="00382A62" w:rsidRDefault="00CD29B6" w:rsidP="00CD29B6">
            <w:pPr>
              <w:spacing w:line="240" w:lineRule="auto"/>
              <w:jc w:val="left"/>
              <w:rPr>
                <w:rFonts w:eastAsia="Times New Roman" w:cs="Arial"/>
                <w:color w:val="000000"/>
                <w:szCs w:val="20"/>
                <w:highlight w:val="yellow"/>
                <w:lang w:eastAsia="es-CR"/>
              </w:rPr>
            </w:pPr>
            <w:r w:rsidRPr="00382A62">
              <w:rPr>
                <w:rFonts w:cs="Arial"/>
                <w:szCs w:val="20"/>
              </w:rPr>
              <w:t>Línea 4 Lata</w:t>
            </w:r>
          </w:p>
        </w:tc>
        <w:tc>
          <w:tcPr>
            <w:tcW w:w="2837" w:type="dxa"/>
            <w:noWrap/>
            <w:hideMark/>
          </w:tcPr>
          <w:p w14:paraId="66179BC7" w14:textId="039F4117" w:rsidR="00CD29B6" w:rsidRPr="00382A62" w:rsidRDefault="00CD29B6" w:rsidP="00CD29B6">
            <w:pPr>
              <w:spacing w:line="240" w:lineRule="auto"/>
              <w:jc w:val="center"/>
              <w:rPr>
                <w:rFonts w:eastAsia="Times New Roman" w:cs="Arial"/>
                <w:color w:val="000000"/>
                <w:szCs w:val="20"/>
                <w:highlight w:val="yellow"/>
                <w:lang w:eastAsia="es-CR"/>
              </w:rPr>
            </w:pPr>
            <w:r w:rsidRPr="00382A62">
              <w:rPr>
                <w:rFonts w:cs="Arial"/>
                <w:szCs w:val="20"/>
              </w:rPr>
              <w:t>652,852.41</w:t>
            </w:r>
          </w:p>
        </w:tc>
        <w:tc>
          <w:tcPr>
            <w:tcW w:w="2837" w:type="dxa"/>
            <w:gridSpan w:val="2"/>
            <w:noWrap/>
            <w:hideMark/>
          </w:tcPr>
          <w:p w14:paraId="32C00B18" w14:textId="40472EC6" w:rsidR="00CD29B6" w:rsidRPr="00382A62" w:rsidRDefault="00CD29B6" w:rsidP="00CD29B6">
            <w:pPr>
              <w:spacing w:line="240" w:lineRule="auto"/>
              <w:jc w:val="center"/>
              <w:rPr>
                <w:rFonts w:eastAsia="Times New Roman" w:cs="Arial"/>
                <w:color w:val="000000"/>
                <w:szCs w:val="20"/>
                <w:highlight w:val="yellow"/>
                <w:lang w:eastAsia="es-CR"/>
              </w:rPr>
            </w:pPr>
            <w:r w:rsidRPr="00382A62">
              <w:rPr>
                <w:rFonts w:cs="Arial"/>
                <w:szCs w:val="20"/>
              </w:rPr>
              <w:t>65.53%</w:t>
            </w:r>
          </w:p>
        </w:tc>
      </w:tr>
      <w:tr w:rsidR="00CD29B6" w:rsidRPr="00382A62" w14:paraId="65B6168D" w14:textId="77777777" w:rsidTr="007D00B2">
        <w:trPr>
          <w:trHeight w:val="334"/>
          <w:jc w:val="center"/>
        </w:trPr>
        <w:tc>
          <w:tcPr>
            <w:tcW w:w="3535" w:type="dxa"/>
            <w:noWrap/>
            <w:hideMark/>
          </w:tcPr>
          <w:p w14:paraId="33ECEF48" w14:textId="20DA7EBD" w:rsidR="00CD29B6" w:rsidRPr="00382A62" w:rsidRDefault="00CD29B6" w:rsidP="00CD29B6">
            <w:pPr>
              <w:spacing w:line="240" w:lineRule="auto"/>
              <w:jc w:val="left"/>
              <w:rPr>
                <w:rFonts w:eastAsia="Times New Roman" w:cs="Arial"/>
                <w:color w:val="000000"/>
                <w:szCs w:val="20"/>
                <w:highlight w:val="yellow"/>
                <w:lang w:eastAsia="es-CR"/>
              </w:rPr>
            </w:pPr>
            <w:r w:rsidRPr="00382A62">
              <w:rPr>
                <w:rFonts w:cs="Arial"/>
                <w:szCs w:val="20"/>
              </w:rPr>
              <w:t>Línea 5 Lata</w:t>
            </w:r>
          </w:p>
        </w:tc>
        <w:tc>
          <w:tcPr>
            <w:tcW w:w="2837" w:type="dxa"/>
            <w:noWrap/>
            <w:hideMark/>
          </w:tcPr>
          <w:p w14:paraId="23A46E75" w14:textId="30CB7A36" w:rsidR="00CD29B6" w:rsidRPr="00382A62" w:rsidRDefault="00CD29B6" w:rsidP="00CD29B6">
            <w:pPr>
              <w:spacing w:line="240" w:lineRule="auto"/>
              <w:jc w:val="center"/>
              <w:rPr>
                <w:rFonts w:eastAsia="Times New Roman" w:cs="Arial"/>
                <w:color w:val="000000"/>
                <w:szCs w:val="20"/>
                <w:highlight w:val="yellow"/>
                <w:lang w:eastAsia="es-CR"/>
              </w:rPr>
            </w:pPr>
            <w:r w:rsidRPr="00382A62">
              <w:rPr>
                <w:rFonts w:cs="Arial"/>
                <w:szCs w:val="20"/>
              </w:rPr>
              <w:t>949,488.02</w:t>
            </w:r>
          </w:p>
        </w:tc>
        <w:tc>
          <w:tcPr>
            <w:tcW w:w="2837" w:type="dxa"/>
            <w:gridSpan w:val="2"/>
            <w:noWrap/>
            <w:hideMark/>
          </w:tcPr>
          <w:p w14:paraId="762E350C" w14:textId="1860DEB4" w:rsidR="00CD29B6" w:rsidRPr="00382A62" w:rsidRDefault="00CD29B6" w:rsidP="00CD29B6">
            <w:pPr>
              <w:spacing w:line="240" w:lineRule="auto"/>
              <w:jc w:val="center"/>
              <w:rPr>
                <w:rFonts w:eastAsia="Times New Roman" w:cs="Arial"/>
                <w:color w:val="000000"/>
                <w:szCs w:val="20"/>
                <w:highlight w:val="yellow"/>
                <w:lang w:eastAsia="es-CR"/>
              </w:rPr>
            </w:pPr>
            <w:r w:rsidRPr="00382A62">
              <w:rPr>
                <w:rFonts w:cs="Arial"/>
                <w:szCs w:val="20"/>
              </w:rPr>
              <w:t>80.34%</w:t>
            </w:r>
          </w:p>
        </w:tc>
      </w:tr>
      <w:tr w:rsidR="00CD29B6" w:rsidRPr="00382A62" w14:paraId="021B95BF" w14:textId="77777777" w:rsidTr="007D00B2">
        <w:trPr>
          <w:trHeight w:val="334"/>
          <w:jc w:val="center"/>
        </w:trPr>
        <w:tc>
          <w:tcPr>
            <w:tcW w:w="3535" w:type="dxa"/>
            <w:noWrap/>
            <w:hideMark/>
          </w:tcPr>
          <w:p w14:paraId="158C0F8B" w14:textId="24EEAD83" w:rsidR="00CD29B6" w:rsidRPr="00382A62" w:rsidRDefault="00CD29B6" w:rsidP="00CD29B6">
            <w:pPr>
              <w:spacing w:line="240" w:lineRule="auto"/>
              <w:jc w:val="left"/>
              <w:rPr>
                <w:rFonts w:eastAsia="Times New Roman" w:cs="Arial"/>
                <w:color w:val="000000"/>
                <w:szCs w:val="20"/>
                <w:highlight w:val="yellow"/>
                <w:lang w:eastAsia="es-CR"/>
              </w:rPr>
            </w:pPr>
            <w:r w:rsidRPr="00382A62">
              <w:rPr>
                <w:rFonts w:cs="Arial"/>
                <w:szCs w:val="20"/>
              </w:rPr>
              <w:t>Línea 7 Barriles</w:t>
            </w:r>
          </w:p>
        </w:tc>
        <w:tc>
          <w:tcPr>
            <w:tcW w:w="2837" w:type="dxa"/>
            <w:noWrap/>
            <w:hideMark/>
          </w:tcPr>
          <w:p w14:paraId="393D05B0" w14:textId="0FFA5542" w:rsidR="00CD29B6" w:rsidRPr="00382A62" w:rsidRDefault="00CD29B6" w:rsidP="00CD29B6">
            <w:pPr>
              <w:spacing w:line="240" w:lineRule="auto"/>
              <w:jc w:val="center"/>
              <w:rPr>
                <w:rFonts w:eastAsia="Times New Roman" w:cs="Arial"/>
                <w:color w:val="000000"/>
                <w:szCs w:val="20"/>
                <w:highlight w:val="yellow"/>
                <w:lang w:eastAsia="es-CR"/>
              </w:rPr>
            </w:pPr>
            <w:r w:rsidRPr="00382A62">
              <w:rPr>
                <w:rFonts w:cs="Arial"/>
                <w:szCs w:val="20"/>
              </w:rPr>
              <w:t>35,041.28</w:t>
            </w:r>
          </w:p>
        </w:tc>
        <w:tc>
          <w:tcPr>
            <w:tcW w:w="2837" w:type="dxa"/>
            <w:gridSpan w:val="2"/>
            <w:noWrap/>
            <w:hideMark/>
          </w:tcPr>
          <w:p w14:paraId="751001A2" w14:textId="140ACBD1" w:rsidR="00CD29B6" w:rsidRPr="00382A62" w:rsidRDefault="00CD29B6" w:rsidP="00CD29B6">
            <w:pPr>
              <w:spacing w:line="240" w:lineRule="auto"/>
              <w:jc w:val="center"/>
              <w:rPr>
                <w:rFonts w:eastAsia="Times New Roman" w:cs="Arial"/>
                <w:color w:val="000000"/>
                <w:szCs w:val="20"/>
                <w:lang w:eastAsia="es-CR"/>
              </w:rPr>
            </w:pPr>
            <w:r w:rsidRPr="00382A62">
              <w:rPr>
                <w:rFonts w:cs="Arial"/>
                <w:szCs w:val="20"/>
              </w:rPr>
              <w:t>45.28%</w:t>
            </w:r>
          </w:p>
        </w:tc>
      </w:tr>
      <w:bookmarkEnd w:id="142"/>
    </w:tbl>
    <w:p w14:paraId="774C7775" w14:textId="77777777" w:rsidR="007605E6" w:rsidRPr="00382A62" w:rsidRDefault="007605E6" w:rsidP="007605E6">
      <w:pPr>
        <w:rPr>
          <w:rFonts w:cs="Arial"/>
          <w:b/>
          <w:bCs/>
          <w:szCs w:val="20"/>
        </w:rPr>
      </w:pPr>
    </w:p>
    <w:p w14:paraId="4B8FB0C0" w14:textId="77777777" w:rsidR="007605E6" w:rsidRPr="00382A62" w:rsidRDefault="007605E6" w:rsidP="007605E6">
      <w:pPr>
        <w:rPr>
          <w:rFonts w:cs="Arial"/>
          <w:szCs w:val="20"/>
        </w:rPr>
      </w:pPr>
      <w:r w:rsidRPr="00382A62">
        <w:rPr>
          <w:rFonts w:cs="Arial"/>
          <w:b/>
          <w:bCs/>
          <w:szCs w:val="20"/>
        </w:rPr>
        <w:t>Planta de producción #2:</w:t>
      </w:r>
      <w:r w:rsidRPr="00382A62">
        <w:rPr>
          <w:rFonts w:cs="Arial"/>
          <w:szCs w:val="20"/>
        </w:rPr>
        <w:t xml:space="preserve"> En esta planta, que está ubicada en San Joaquín de Flores, en la provincia de Heredia, Costa Rica, se elaboran productos sin contenido alcohólico: Cristal, Tropical y Tampico. La misma tiene una dimensión de 161,957 m2. La capacidad instalada de dicha planta es la siguiente:</w:t>
      </w:r>
    </w:p>
    <w:p w14:paraId="6E8F4F73" w14:textId="77777777" w:rsidR="0099549C" w:rsidRDefault="0099549C" w:rsidP="007605E6">
      <w:pPr>
        <w:pStyle w:val="Descripcin"/>
        <w:rPr>
          <w:rFonts w:cs="Arial"/>
          <w:szCs w:val="20"/>
        </w:rPr>
      </w:pPr>
    </w:p>
    <w:p w14:paraId="7D9CFDEA" w14:textId="77777777" w:rsidR="0099549C" w:rsidRDefault="0099549C" w:rsidP="007605E6">
      <w:pPr>
        <w:pStyle w:val="Descripcin"/>
        <w:rPr>
          <w:rFonts w:cs="Arial"/>
          <w:szCs w:val="20"/>
        </w:rPr>
      </w:pPr>
    </w:p>
    <w:p w14:paraId="5C6C8E90" w14:textId="0AE7E731" w:rsidR="007605E6" w:rsidRPr="00382A62" w:rsidRDefault="007605E6" w:rsidP="007605E6">
      <w:pPr>
        <w:pStyle w:val="Descripcin"/>
        <w:rPr>
          <w:rFonts w:cs="Arial"/>
          <w:szCs w:val="20"/>
        </w:rPr>
      </w:pPr>
      <w:bookmarkStart w:id="143" w:name="_Toc169624729"/>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33</w:t>
      </w:r>
      <w:r w:rsidR="00423C23" w:rsidRPr="00382A62">
        <w:rPr>
          <w:rFonts w:cs="Arial"/>
          <w:noProof/>
          <w:szCs w:val="20"/>
        </w:rPr>
        <w:fldChar w:fldCharType="end"/>
      </w:r>
      <w:r w:rsidRPr="00382A62">
        <w:rPr>
          <w:rFonts w:cs="Arial"/>
          <w:szCs w:val="20"/>
        </w:rPr>
        <w:t xml:space="preserve"> - Capacidad Instalada de Planta de Producción #2</w:t>
      </w:r>
      <w:bookmarkEnd w:id="143"/>
    </w:p>
    <w:tbl>
      <w:tblPr>
        <w:tblW w:w="912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964"/>
        <w:gridCol w:w="2694"/>
        <w:gridCol w:w="2462"/>
      </w:tblGrid>
      <w:tr w:rsidR="007605E6" w:rsidRPr="00382A62" w14:paraId="708F82B8" w14:textId="77777777" w:rsidTr="007D00B2">
        <w:trPr>
          <w:trHeight w:val="600"/>
          <w:jc w:val="center"/>
        </w:trPr>
        <w:tc>
          <w:tcPr>
            <w:tcW w:w="3964" w:type="dxa"/>
            <w:shd w:val="clear" w:color="auto" w:fill="F2F2F2" w:themeFill="background1" w:themeFillShade="F2"/>
            <w:noWrap/>
            <w:vAlign w:val="center"/>
            <w:hideMark/>
          </w:tcPr>
          <w:p w14:paraId="4BA60DE4" w14:textId="77777777" w:rsidR="007605E6" w:rsidRPr="00382A62" w:rsidRDefault="007605E6" w:rsidP="007D00B2">
            <w:pPr>
              <w:spacing w:after="0" w:line="240" w:lineRule="auto"/>
              <w:jc w:val="center"/>
              <w:rPr>
                <w:rFonts w:eastAsia="Times New Roman" w:cs="Arial"/>
                <w:b/>
                <w:bCs/>
                <w:color w:val="000000"/>
                <w:szCs w:val="20"/>
                <w:lang w:eastAsia="es-CR"/>
              </w:rPr>
            </w:pPr>
            <w:bookmarkStart w:id="144" w:name="_Hlk94683758"/>
            <w:r w:rsidRPr="00382A62">
              <w:rPr>
                <w:rFonts w:eastAsia="Times New Roman" w:cs="Arial"/>
                <w:b/>
                <w:bCs/>
                <w:color w:val="000000"/>
                <w:szCs w:val="20"/>
                <w:lang w:eastAsia="es-CR"/>
              </w:rPr>
              <w:t>Línea</w:t>
            </w:r>
          </w:p>
        </w:tc>
        <w:tc>
          <w:tcPr>
            <w:tcW w:w="2694" w:type="dxa"/>
            <w:shd w:val="clear" w:color="auto" w:fill="F2F2F2" w:themeFill="background1" w:themeFillShade="F2"/>
            <w:vAlign w:val="center"/>
            <w:hideMark/>
          </w:tcPr>
          <w:p w14:paraId="3C6FCD07"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Capacidad instalada</w:t>
            </w:r>
            <w:r w:rsidRPr="00382A62">
              <w:rPr>
                <w:rFonts w:eastAsia="Times New Roman" w:cs="Arial"/>
                <w:b/>
                <w:bCs/>
                <w:color w:val="000000"/>
                <w:szCs w:val="20"/>
                <w:lang w:eastAsia="es-CR"/>
              </w:rPr>
              <w:br/>
              <w:t>(HL / Año)</w:t>
            </w:r>
          </w:p>
        </w:tc>
        <w:tc>
          <w:tcPr>
            <w:tcW w:w="2462" w:type="dxa"/>
            <w:shd w:val="clear" w:color="auto" w:fill="F2F2F2" w:themeFill="background1" w:themeFillShade="F2"/>
            <w:noWrap/>
            <w:vAlign w:val="center"/>
            <w:hideMark/>
          </w:tcPr>
          <w:p w14:paraId="28196048" w14:textId="0C559806"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themeColor="text1"/>
                <w:szCs w:val="20"/>
                <w:lang w:eastAsia="es-CR"/>
              </w:rPr>
              <w:t>% de Utilización 202</w:t>
            </w:r>
            <w:r w:rsidR="00700E85" w:rsidRPr="00382A62">
              <w:rPr>
                <w:rFonts w:eastAsia="Times New Roman" w:cs="Arial"/>
                <w:b/>
                <w:bCs/>
                <w:color w:val="000000" w:themeColor="text1"/>
                <w:szCs w:val="20"/>
                <w:lang w:eastAsia="es-CR"/>
              </w:rPr>
              <w:t>3</w:t>
            </w:r>
          </w:p>
        </w:tc>
      </w:tr>
      <w:tr w:rsidR="007605E6" w:rsidRPr="00382A62" w14:paraId="2892C780" w14:textId="77777777" w:rsidTr="007D00B2">
        <w:trPr>
          <w:trHeight w:val="300"/>
          <w:jc w:val="center"/>
        </w:trPr>
        <w:tc>
          <w:tcPr>
            <w:tcW w:w="3964" w:type="dxa"/>
            <w:shd w:val="clear" w:color="auto" w:fill="auto"/>
            <w:noWrap/>
            <w:vAlign w:val="center"/>
            <w:hideMark/>
          </w:tcPr>
          <w:p w14:paraId="4C96C182"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themeColor="text1"/>
                <w:szCs w:val="20"/>
                <w:lang w:eastAsia="es-CR"/>
              </w:rPr>
              <w:t>Agua Cristal PET + Tampico PET + Tropical</w:t>
            </w:r>
          </w:p>
        </w:tc>
        <w:tc>
          <w:tcPr>
            <w:tcW w:w="2694" w:type="dxa"/>
            <w:shd w:val="clear" w:color="auto" w:fill="auto"/>
            <w:noWrap/>
            <w:hideMark/>
          </w:tcPr>
          <w:p w14:paraId="4E8A6B06" w14:textId="77777777" w:rsidR="007605E6" w:rsidRPr="00382A62" w:rsidRDefault="007605E6" w:rsidP="007D00B2">
            <w:pPr>
              <w:spacing w:after="0" w:line="240" w:lineRule="auto"/>
              <w:jc w:val="center"/>
              <w:rPr>
                <w:rFonts w:cs="Arial"/>
                <w:szCs w:val="20"/>
                <w:lang w:eastAsia="es-CR"/>
              </w:rPr>
            </w:pPr>
            <w:r w:rsidRPr="00382A62">
              <w:rPr>
                <w:rFonts w:cs="Arial"/>
                <w:szCs w:val="20"/>
              </w:rPr>
              <w:t xml:space="preserve"> 294.703</w:t>
            </w:r>
          </w:p>
        </w:tc>
        <w:tc>
          <w:tcPr>
            <w:tcW w:w="2462" w:type="dxa"/>
            <w:shd w:val="clear" w:color="auto" w:fill="auto"/>
            <w:noWrap/>
            <w:vAlign w:val="center"/>
            <w:hideMark/>
          </w:tcPr>
          <w:p w14:paraId="2F389401" w14:textId="44C6DC94" w:rsidR="007605E6" w:rsidRPr="00382A62" w:rsidRDefault="005400C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91,80</w:t>
            </w:r>
            <w:r w:rsidR="007605E6" w:rsidRPr="00382A62">
              <w:rPr>
                <w:rFonts w:eastAsia="Times New Roman" w:cs="Arial"/>
                <w:color w:val="000000" w:themeColor="text1"/>
                <w:szCs w:val="20"/>
                <w:lang w:eastAsia="es-CR"/>
              </w:rPr>
              <w:t>%</w:t>
            </w:r>
          </w:p>
        </w:tc>
      </w:tr>
      <w:tr w:rsidR="007605E6" w:rsidRPr="00382A62" w14:paraId="713C6D62" w14:textId="77777777" w:rsidTr="007D00B2">
        <w:trPr>
          <w:trHeight w:val="300"/>
          <w:jc w:val="center"/>
        </w:trPr>
        <w:tc>
          <w:tcPr>
            <w:tcW w:w="3964" w:type="dxa"/>
            <w:shd w:val="clear" w:color="auto" w:fill="auto"/>
            <w:noWrap/>
            <w:vAlign w:val="center"/>
            <w:hideMark/>
          </w:tcPr>
          <w:p w14:paraId="21FC4AE0" w14:textId="6F639232"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themeColor="text1"/>
                <w:szCs w:val="20"/>
                <w:lang w:eastAsia="es-CR"/>
              </w:rPr>
              <w:t>Agua Cristal</w:t>
            </w:r>
            <w:r w:rsidR="00BA4858" w:rsidRPr="00382A62">
              <w:rPr>
                <w:rFonts w:eastAsia="Times New Roman" w:cs="Arial"/>
                <w:color w:val="000000" w:themeColor="text1"/>
                <w:szCs w:val="20"/>
                <w:lang w:eastAsia="es-CR"/>
              </w:rPr>
              <w:t>,</w:t>
            </w:r>
            <w:r w:rsidRPr="00382A62">
              <w:rPr>
                <w:rFonts w:eastAsia="Times New Roman" w:cs="Arial"/>
                <w:color w:val="000000" w:themeColor="text1"/>
                <w:szCs w:val="20"/>
                <w:lang w:eastAsia="es-CR"/>
              </w:rPr>
              <w:t xml:space="preserve"> Tropical Té (6 litros)</w:t>
            </w:r>
          </w:p>
        </w:tc>
        <w:tc>
          <w:tcPr>
            <w:tcW w:w="2694" w:type="dxa"/>
            <w:shd w:val="clear" w:color="auto" w:fill="auto"/>
            <w:noWrap/>
            <w:hideMark/>
          </w:tcPr>
          <w:p w14:paraId="66D130E4" w14:textId="77777777" w:rsidR="007605E6" w:rsidRPr="00382A62" w:rsidRDefault="007605E6" w:rsidP="007D00B2">
            <w:pPr>
              <w:spacing w:after="0" w:line="240" w:lineRule="auto"/>
              <w:jc w:val="center"/>
              <w:rPr>
                <w:rFonts w:cs="Arial"/>
                <w:szCs w:val="20"/>
              </w:rPr>
            </w:pPr>
            <w:r w:rsidRPr="00382A62">
              <w:rPr>
                <w:rFonts w:cs="Arial"/>
                <w:szCs w:val="20"/>
              </w:rPr>
              <w:t>111.196</w:t>
            </w:r>
          </w:p>
        </w:tc>
        <w:tc>
          <w:tcPr>
            <w:tcW w:w="2462" w:type="dxa"/>
            <w:shd w:val="clear" w:color="auto" w:fill="auto"/>
            <w:noWrap/>
            <w:vAlign w:val="center"/>
            <w:hideMark/>
          </w:tcPr>
          <w:p w14:paraId="024D798B" w14:textId="77777777" w:rsidR="007605E6" w:rsidRPr="00382A62" w:rsidRDefault="007605E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16,33%</w:t>
            </w:r>
          </w:p>
        </w:tc>
      </w:tr>
      <w:tr w:rsidR="007605E6" w:rsidRPr="00382A62" w14:paraId="26A6EE8F" w14:textId="77777777" w:rsidTr="007D00B2">
        <w:trPr>
          <w:trHeight w:val="300"/>
          <w:jc w:val="center"/>
        </w:trPr>
        <w:tc>
          <w:tcPr>
            <w:tcW w:w="3964" w:type="dxa"/>
            <w:shd w:val="clear" w:color="auto" w:fill="auto"/>
            <w:noWrap/>
            <w:vAlign w:val="center"/>
            <w:hideMark/>
          </w:tcPr>
          <w:p w14:paraId="363D4908"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 xml:space="preserve">Tropical PET Personal </w:t>
            </w:r>
          </w:p>
        </w:tc>
        <w:tc>
          <w:tcPr>
            <w:tcW w:w="2694" w:type="dxa"/>
            <w:shd w:val="clear" w:color="auto" w:fill="auto"/>
            <w:noWrap/>
            <w:hideMark/>
          </w:tcPr>
          <w:p w14:paraId="68278F32" w14:textId="77777777" w:rsidR="007605E6" w:rsidRPr="00382A62" w:rsidRDefault="007605E6" w:rsidP="007D00B2">
            <w:pPr>
              <w:spacing w:after="0" w:line="240" w:lineRule="auto"/>
              <w:jc w:val="center"/>
              <w:rPr>
                <w:rFonts w:eastAsia="Times New Roman" w:cs="Arial"/>
                <w:color w:val="000000"/>
                <w:szCs w:val="20"/>
                <w:lang w:eastAsia="es-CR"/>
              </w:rPr>
            </w:pPr>
            <w:r w:rsidRPr="00382A62">
              <w:rPr>
                <w:rFonts w:cs="Arial"/>
                <w:szCs w:val="20"/>
              </w:rPr>
              <w:t xml:space="preserve"> 280.607 </w:t>
            </w:r>
          </w:p>
        </w:tc>
        <w:tc>
          <w:tcPr>
            <w:tcW w:w="2462" w:type="dxa"/>
            <w:shd w:val="clear" w:color="auto" w:fill="auto"/>
            <w:noWrap/>
            <w:vAlign w:val="center"/>
            <w:hideMark/>
          </w:tcPr>
          <w:p w14:paraId="50AD6274" w14:textId="6E112152" w:rsidR="007605E6" w:rsidRPr="00382A62" w:rsidRDefault="007605E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7</w:t>
            </w:r>
            <w:r w:rsidR="005400C6" w:rsidRPr="00382A62">
              <w:rPr>
                <w:rFonts w:eastAsia="Times New Roman" w:cs="Arial"/>
                <w:color w:val="000000" w:themeColor="text1"/>
                <w:szCs w:val="20"/>
                <w:lang w:eastAsia="es-CR"/>
              </w:rPr>
              <w:t>8,10</w:t>
            </w:r>
            <w:r w:rsidRPr="00382A62">
              <w:rPr>
                <w:rFonts w:eastAsia="Times New Roman" w:cs="Arial"/>
                <w:color w:val="000000" w:themeColor="text1"/>
                <w:szCs w:val="20"/>
                <w:lang w:eastAsia="es-CR"/>
              </w:rPr>
              <w:t>%</w:t>
            </w:r>
          </w:p>
        </w:tc>
      </w:tr>
      <w:tr w:rsidR="007605E6" w:rsidRPr="00382A62" w14:paraId="1197CE85" w14:textId="77777777" w:rsidTr="007D00B2">
        <w:trPr>
          <w:trHeight w:val="300"/>
          <w:jc w:val="center"/>
        </w:trPr>
        <w:tc>
          <w:tcPr>
            <w:tcW w:w="3964" w:type="dxa"/>
            <w:shd w:val="clear" w:color="auto" w:fill="auto"/>
            <w:noWrap/>
            <w:vAlign w:val="center"/>
            <w:hideMark/>
          </w:tcPr>
          <w:p w14:paraId="6D1AA56F"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Gatorade + Tropical</w:t>
            </w:r>
          </w:p>
        </w:tc>
        <w:tc>
          <w:tcPr>
            <w:tcW w:w="2694" w:type="dxa"/>
            <w:shd w:val="clear" w:color="auto" w:fill="auto"/>
            <w:noWrap/>
            <w:hideMark/>
          </w:tcPr>
          <w:p w14:paraId="32498A16" w14:textId="77777777" w:rsidR="007605E6" w:rsidRPr="00382A62" w:rsidRDefault="007605E6" w:rsidP="007D00B2">
            <w:pPr>
              <w:spacing w:after="0" w:line="240" w:lineRule="auto"/>
              <w:jc w:val="center"/>
              <w:rPr>
                <w:rFonts w:cs="Arial"/>
                <w:szCs w:val="20"/>
                <w:lang w:eastAsia="es-CR"/>
              </w:rPr>
            </w:pPr>
            <w:r w:rsidRPr="00382A62">
              <w:rPr>
                <w:rFonts w:cs="Arial"/>
                <w:szCs w:val="20"/>
              </w:rPr>
              <w:t xml:space="preserve">714.755 </w:t>
            </w:r>
          </w:p>
        </w:tc>
        <w:tc>
          <w:tcPr>
            <w:tcW w:w="2462" w:type="dxa"/>
            <w:shd w:val="clear" w:color="auto" w:fill="auto"/>
            <w:noWrap/>
            <w:vAlign w:val="center"/>
            <w:hideMark/>
          </w:tcPr>
          <w:p w14:paraId="4A434416" w14:textId="4D0AB469" w:rsidR="007605E6" w:rsidRPr="00382A62" w:rsidRDefault="005400C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87,60</w:t>
            </w:r>
            <w:r w:rsidR="007605E6" w:rsidRPr="00382A62">
              <w:rPr>
                <w:rFonts w:eastAsia="Times New Roman" w:cs="Arial"/>
                <w:color w:val="000000" w:themeColor="text1"/>
                <w:szCs w:val="20"/>
                <w:lang w:eastAsia="es-CR"/>
              </w:rPr>
              <w:t>%</w:t>
            </w:r>
          </w:p>
        </w:tc>
      </w:tr>
      <w:tr w:rsidR="007605E6" w:rsidRPr="00382A62" w14:paraId="4A32CFE0" w14:textId="77777777" w:rsidTr="007D00B2">
        <w:trPr>
          <w:trHeight w:val="300"/>
          <w:jc w:val="center"/>
        </w:trPr>
        <w:tc>
          <w:tcPr>
            <w:tcW w:w="3964" w:type="dxa"/>
            <w:shd w:val="clear" w:color="auto" w:fill="auto"/>
            <w:noWrap/>
            <w:vAlign w:val="center"/>
            <w:hideMark/>
          </w:tcPr>
          <w:p w14:paraId="07DA8595"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themeColor="text1"/>
                <w:szCs w:val="20"/>
                <w:lang w:eastAsia="es-CR"/>
              </w:rPr>
              <w:t>Carbonatadas Personal + Familiares</w:t>
            </w:r>
          </w:p>
        </w:tc>
        <w:tc>
          <w:tcPr>
            <w:tcW w:w="2694" w:type="dxa"/>
            <w:shd w:val="clear" w:color="auto" w:fill="auto"/>
            <w:noWrap/>
            <w:hideMark/>
          </w:tcPr>
          <w:p w14:paraId="6543609F" w14:textId="2FD11055" w:rsidR="007605E6" w:rsidRPr="00382A62" w:rsidRDefault="007B2A5E" w:rsidP="007D00B2">
            <w:pPr>
              <w:spacing w:after="0" w:line="240" w:lineRule="auto"/>
              <w:jc w:val="center"/>
              <w:rPr>
                <w:rFonts w:eastAsia="Times New Roman" w:cs="Arial"/>
                <w:color w:val="000000"/>
                <w:szCs w:val="20"/>
                <w:lang w:eastAsia="es-CR"/>
              </w:rPr>
            </w:pPr>
            <w:r w:rsidRPr="00382A62">
              <w:rPr>
                <w:rFonts w:cs="Arial"/>
                <w:szCs w:val="20"/>
              </w:rPr>
              <w:t>1,551,586</w:t>
            </w:r>
            <w:r w:rsidR="007605E6" w:rsidRPr="00382A62">
              <w:rPr>
                <w:rFonts w:cs="Arial"/>
                <w:szCs w:val="20"/>
              </w:rPr>
              <w:t xml:space="preserve"> </w:t>
            </w:r>
          </w:p>
        </w:tc>
        <w:tc>
          <w:tcPr>
            <w:tcW w:w="2462" w:type="dxa"/>
            <w:shd w:val="clear" w:color="auto" w:fill="auto"/>
            <w:noWrap/>
            <w:vAlign w:val="center"/>
            <w:hideMark/>
          </w:tcPr>
          <w:p w14:paraId="64DE9624" w14:textId="79983B86" w:rsidR="007605E6" w:rsidRPr="00382A62" w:rsidRDefault="005400C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81,70</w:t>
            </w:r>
            <w:r w:rsidR="007605E6" w:rsidRPr="00382A62">
              <w:rPr>
                <w:rFonts w:eastAsia="Times New Roman" w:cs="Arial"/>
                <w:color w:val="000000" w:themeColor="text1"/>
                <w:szCs w:val="20"/>
                <w:lang w:eastAsia="es-CR"/>
              </w:rPr>
              <w:t>%</w:t>
            </w:r>
          </w:p>
        </w:tc>
      </w:tr>
      <w:tr w:rsidR="007605E6" w:rsidRPr="00382A62" w14:paraId="4597EFE9" w14:textId="77777777" w:rsidTr="007D00B2">
        <w:trPr>
          <w:trHeight w:val="300"/>
          <w:jc w:val="center"/>
        </w:trPr>
        <w:tc>
          <w:tcPr>
            <w:tcW w:w="3964" w:type="dxa"/>
            <w:shd w:val="clear" w:color="auto" w:fill="auto"/>
            <w:noWrap/>
            <w:vAlign w:val="center"/>
            <w:hideMark/>
          </w:tcPr>
          <w:p w14:paraId="1A5D9453"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Post Mix</w:t>
            </w:r>
          </w:p>
        </w:tc>
        <w:tc>
          <w:tcPr>
            <w:tcW w:w="2694" w:type="dxa"/>
            <w:shd w:val="clear" w:color="auto" w:fill="auto"/>
            <w:noWrap/>
            <w:hideMark/>
          </w:tcPr>
          <w:p w14:paraId="131006BA" w14:textId="77777777" w:rsidR="007605E6" w:rsidRPr="00382A62" w:rsidRDefault="007605E6" w:rsidP="007D00B2">
            <w:pPr>
              <w:spacing w:after="0" w:line="240" w:lineRule="auto"/>
              <w:jc w:val="center"/>
              <w:rPr>
                <w:rFonts w:cs="Arial"/>
                <w:szCs w:val="20"/>
                <w:lang w:eastAsia="es-CR"/>
              </w:rPr>
            </w:pPr>
            <w:r w:rsidRPr="00382A62">
              <w:rPr>
                <w:rFonts w:cs="Arial"/>
                <w:szCs w:val="20"/>
              </w:rPr>
              <w:t xml:space="preserve"> 71.601</w:t>
            </w:r>
          </w:p>
        </w:tc>
        <w:tc>
          <w:tcPr>
            <w:tcW w:w="2462" w:type="dxa"/>
            <w:shd w:val="clear" w:color="auto" w:fill="auto"/>
            <w:noWrap/>
            <w:vAlign w:val="center"/>
            <w:hideMark/>
          </w:tcPr>
          <w:p w14:paraId="68DEC77D" w14:textId="04CA25C2" w:rsidR="007605E6" w:rsidRPr="00382A62" w:rsidRDefault="005400C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34</w:t>
            </w:r>
            <w:r w:rsidR="007605E6" w:rsidRPr="00382A62">
              <w:rPr>
                <w:rFonts w:eastAsia="Times New Roman" w:cs="Arial"/>
                <w:color w:val="000000" w:themeColor="text1"/>
                <w:szCs w:val="20"/>
                <w:lang w:eastAsia="es-CR"/>
              </w:rPr>
              <w:t>%</w:t>
            </w:r>
          </w:p>
        </w:tc>
      </w:tr>
    </w:tbl>
    <w:bookmarkEnd w:id="144"/>
    <w:p w14:paraId="31DF5246" w14:textId="4A3F00D2" w:rsidR="007605E6" w:rsidRDefault="007605E6" w:rsidP="007605E6">
      <w:pPr>
        <w:rPr>
          <w:rFonts w:cs="Arial"/>
          <w:szCs w:val="20"/>
        </w:rPr>
      </w:pPr>
      <w:r w:rsidRPr="00382A62">
        <w:rPr>
          <w:rFonts w:cs="Arial"/>
          <w:b/>
          <w:bCs/>
          <w:szCs w:val="20"/>
        </w:rPr>
        <w:t>Planta de producción #3:</w:t>
      </w:r>
      <w:r w:rsidRPr="00382A62">
        <w:rPr>
          <w:rFonts w:cs="Arial"/>
          <w:szCs w:val="20"/>
        </w:rPr>
        <w:t xml:space="preserve"> Localizada cerca de la ciudad de Guatemala</w:t>
      </w:r>
      <w:r w:rsidR="00BA4858" w:rsidRPr="00382A62">
        <w:rPr>
          <w:rFonts w:cs="Arial"/>
          <w:szCs w:val="20"/>
        </w:rPr>
        <w:t>,</w:t>
      </w:r>
      <w:r w:rsidRPr="00382A62">
        <w:rPr>
          <w:rFonts w:cs="Arial"/>
          <w:szCs w:val="20"/>
        </w:rPr>
        <w:t xml:space="preserve"> tiene una dimensión de 50.000 m2 y se encarga de la elaboración de: néctares</w:t>
      </w:r>
      <w:r w:rsidR="00BA4858" w:rsidRPr="00382A62">
        <w:rPr>
          <w:rFonts w:cs="Arial"/>
          <w:szCs w:val="20"/>
        </w:rPr>
        <w:t>,</w:t>
      </w:r>
      <w:r w:rsidRPr="00382A62">
        <w:rPr>
          <w:rFonts w:cs="Arial"/>
          <w:szCs w:val="20"/>
        </w:rPr>
        <w:t xml:space="preserve"> jugos</w:t>
      </w:r>
      <w:r w:rsidR="00BA4858" w:rsidRPr="00382A62">
        <w:rPr>
          <w:rFonts w:cs="Arial"/>
          <w:szCs w:val="20"/>
        </w:rPr>
        <w:t>,</w:t>
      </w:r>
      <w:r w:rsidRPr="00382A62">
        <w:rPr>
          <w:rFonts w:cs="Arial"/>
          <w:szCs w:val="20"/>
        </w:rPr>
        <w:t xml:space="preserve"> conservas y frijoles. La capacidad instalada y el porcentaje de utilización de dicha planta es:</w:t>
      </w:r>
    </w:p>
    <w:p w14:paraId="3D5CF2E1" w14:textId="77777777" w:rsidR="001A5CA1" w:rsidRPr="00382A62" w:rsidRDefault="001A5CA1" w:rsidP="007605E6">
      <w:pPr>
        <w:rPr>
          <w:rFonts w:cs="Arial"/>
          <w:szCs w:val="20"/>
        </w:rPr>
      </w:pPr>
    </w:p>
    <w:p w14:paraId="5F641760" w14:textId="084221B7" w:rsidR="007605E6" w:rsidRPr="00382A62" w:rsidRDefault="007605E6" w:rsidP="007605E6">
      <w:pPr>
        <w:pStyle w:val="Descripcin"/>
        <w:rPr>
          <w:rFonts w:cs="Arial"/>
          <w:szCs w:val="20"/>
        </w:rPr>
      </w:pPr>
      <w:bookmarkStart w:id="145" w:name="_Toc169624730"/>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34</w:t>
      </w:r>
      <w:r w:rsidR="00423C23" w:rsidRPr="00382A62">
        <w:rPr>
          <w:rFonts w:cs="Arial"/>
          <w:noProof/>
          <w:szCs w:val="20"/>
        </w:rPr>
        <w:fldChar w:fldCharType="end"/>
      </w:r>
      <w:r w:rsidRPr="00382A62">
        <w:rPr>
          <w:rFonts w:cs="Arial"/>
          <w:szCs w:val="20"/>
        </w:rPr>
        <w:t xml:space="preserve"> - Capacidad Instalada de Planta de Producción #3</w:t>
      </w:r>
      <w:bookmarkEnd w:id="145"/>
    </w:p>
    <w:tbl>
      <w:tblPr>
        <w:tblW w:w="8354" w:type="dxa"/>
        <w:jc w:val="center"/>
        <w:tblCellMar>
          <w:left w:w="70" w:type="dxa"/>
          <w:right w:w="70" w:type="dxa"/>
        </w:tblCellMar>
        <w:tblLook w:val="04A0" w:firstRow="1" w:lastRow="0" w:firstColumn="1" w:lastColumn="0" w:noHBand="0" w:noVBand="1"/>
      </w:tblPr>
      <w:tblGrid>
        <w:gridCol w:w="2385"/>
        <w:gridCol w:w="1858"/>
        <w:gridCol w:w="2008"/>
        <w:gridCol w:w="2103"/>
      </w:tblGrid>
      <w:tr w:rsidR="00611DA4" w:rsidRPr="00611DA4" w14:paraId="39CF4671" w14:textId="77777777" w:rsidTr="00611DA4">
        <w:trPr>
          <w:trHeight w:val="692"/>
          <w:jc w:val="center"/>
        </w:trPr>
        <w:tc>
          <w:tcPr>
            <w:tcW w:w="2385" w:type="dxa"/>
            <w:tcBorders>
              <w:top w:val="single" w:sz="8" w:space="0" w:color="A6A6A6"/>
              <w:left w:val="single" w:sz="8" w:space="0" w:color="A6A6A6"/>
              <w:bottom w:val="single" w:sz="8" w:space="0" w:color="A6A6A6"/>
              <w:right w:val="single" w:sz="8" w:space="0" w:color="A6A6A6"/>
            </w:tcBorders>
            <w:shd w:val="clear" w:color="000000" w:fill="F2F2F2"/>
            <w:noWrap/>
            <w:vAlign w:val="center"/>
            <w:hideMark/>
          </w:tcPr>
          <w:p w14:paraId="191677EA" w14:textId="77777777" w:rsidR="00611DA4" w:rsidRPr="00611DA4" w:rsidRDefault="00611DA4" w:rsidP="00611DA4">
            <w:pPr>
              <w:spacing w:after="0" w:line="240" w:lineRule="auto"/>
              <w:jc w:val="center"/>
              <w:rPr>
                <w:rFonts w:eastAsia="Times New Roman" w:cs="Arial"/>
                <w:b/>
                <w:bCs/>
                <w:color w:val="000000"/>
                <w:szCs w:val="20"/>
                <w:lang w:val="es-419" w:eastAsia="es-419"/>
              </w:rPr>
            </w:pPr>
            <w:bookmarkStart w:id="146" w:name="RANGE!A6"/>
            <w:bookmarkStart w:id="147" w:name="_Hlk94683596" w:colFirst="1" w:colLast="3"/>
            <w:r w:rsidRPr="00611DA4">
              <w:rPr>
                <w:rFonts w:eastAsia="Times New Roman" w:cs="Arial"/>
                <w:b/>
                <w:bCs/>
                <w:color w:val="000000"/>
                <w:szCs w:val="20"/>
                <w:lang w:eastAsia="es-419"/>
              </w:rPr>
              <w:t>Tipo de Producto</w:t>
            </w:r>
            <w:bookmarkEnd w:id="146"/>
          </w:p>
        </w:tc>
        <w:tc>
          <w:tcPr>
            <w:tcW w:w="1858" w:type="dxa"/>
            <w:tcBorders>
              <w:top w:val="single" w:sz="8" w:space="0" w:color="A6A6A6"/>
              <w:left w:val="nil"/>
              <w:bottom w:val="single" w:sz="8" w:space="0" w:color="A6A6A6"/>
              <w:right w:val="single" w:sz="8" w:space="0" w:color="A6A6A6"/>
            </w:tcBorders>
            <w:shd w:val="clear" w:color="000000" w:fill="F2F2F2"/>
            <w:noWrap/>
            <w:vAlign w:val="center"/>
            <w:hideMark/>
          </w:tcPr>
          <w:p w14:paraId="0E031045" w14:textId="77777777" w:rsidR="00611DA4" w:rsidRPr="00611DA4" w:rsidRDefault="00611DA4" w:rsidP="00611DA4">
            <w:pPr>
              <w:spacing w:after="0" w:line="240" w:lineRule="auto"/>
              <w:jc w:val="center"/>
              <w:rPr>
                <w:rFonts w:eastAsia="Times New Roman" w:cs="Arial"/>
                <w:b/>
                <w:bCs/>
                <w:color w:val="000000"/>
                <w:szCs w:val="20"/>
                <w:lang w:val="es-419" w:eastAsia="es-419"/>
              </w:rPr>
            </w:pPr>
            <w:r w:rsidRPr="00611DA4">
              <w:rPr>
                <w:rFonts w:eastAsia="Times New Roman" w:cs="Arial"/>
                <w:b/>
                <w:bCs/>
                <w:color w:val="000000"/>
                <w:szCs w:val="20"/>
                <w:lang w:eastAsia="es-419"/>
              </w:rPr>
              <w:t>Línea</w:t>
            </w:r>
          </w:p>
        </w:tc>
        <w:tc>
          <w:tcPr>
            <w:tcW w:w="2008" w:type="dxa"/>
            <w:tcBorders>
              <w:top w:val="single" w:sz="8" w:space="0" w:color="A6A6A6"/>
              <w:left w:val="nil"/>
              <w:bottom w:val="single" w:sz="8" w:space="0" w:color="A6A6A6"/>
              <w:right w:val="single" w:sz="8" w:space="0" w:color="A6A6A6"/>
            </w:tcBorders>
            <w:shd w:val="clear" w:color="000000" w:fill="F2F2F2"/>
            <w:vAlign w:val="center"/>
            <w:hideMark/>
          </w:tcPr>
          <w:p w14:paraId="2693ECC0" w14:textId="77777777" w:rsidR="00611DA4" w:rsidRPr="00611DA4" w:rsidRDefault="00611DA4" w:rsidP="00611DA4">
            <w:pPr>
              <w:spacing w:after="0" w:line="240" w:lineRule="auto"/>
              <w:jc w:val="center"/>
              <w:rPr>
                <w:rFonts w:eastAsia="Times New Roman" w:cs="Arial"/>
                <w:b/>
                <w:bCs/>
                <w:color w:val="000000"/>
                <w:szCs w:val="20"/>
                <w:lang w:val="es-419" w:eastAsia="es-419"/>
              </w:rPr>
            </w:pPr>
            <w:r w:rsidRPr="00611DA4">
              <w:rPr>
                <w:rFonts w:eastAsia="Times New Roman" w:cs="Arial"/>
                <w:b/>
                <w:bCs/>
                <w:color w:val="000000"/>
                <w:szCs w:val="20"/>
                <w:lang w:eastAsia="es-419"/>
              </w:rPr>
              <w:t>Capacidad instalada</w:t>
            </w:r>
          </w:p>
        </w:tc>
        <w:tc>
          <w:tcPr>
            <w:tcW w:w="2103" w:type="dxa"/>
            <w:tcBorders>
              <w:top w:val="single" w:sz="8" w:space="0" w:color="A6A6A6"/>
              <w:left w:val="nil"/>
              <w:bottom w:val="single" w:sz="8" w:space="0" w:color="A6A6A6"/>
              <w:right w:val="single" w:sz="8" w:space="0" w:color="A6A6A6"/>
            </w:tcBorders>
            <w:shd w:val="clear" w:color="000000" w:fill="F2F2F2"/>
            <w:vAlign w:val="center"/>
            <w:hideMark/>
          </w:tcPr>
          <w:p w14:paraId="13EE58BF" w14:textId="51546143" w:rsidR="00611DA4" w:rsidRPr="00611DA4" w:rsidRDefault="00611DA4" w:rsidP="00611DA4">
            <w:pPr>
              <w:spacing w:after="0" w:line="240" w:lineRule="auto"/>
              <w:jc w:val="center"/>
              <w:rPr>
                <w:rFonts w:eastAsia="Times New Roman" w:cs="Arial"/>
                <w:b/>
                <w:bCs/>
                <w:color w:val="000000"/>
                <w:szCs w:val="20"/>
                <w:lang w:val="es-419" w:eastAsia="es-419"/>
              </w:rPr>
            </w:pPr>
            <w:r w:rsidRPr="00611DA4">
              <w:rPr>
                <w:rFonts w:eastAsia="Times New Roman" w:cs="Arial"/>
                <w:b/>
                <w:bCs/>
                <w:color w:val="000000"/>
                <w:szCs w:val="20"/>
                <w:lang w:eastAsia="es-419"/>
              </w:rPr>
              <w:t>% de Utilización 202</w:t>
            </w:r>
            <w:r w:rsidRPr="00382A62">
              <w:rPr>
                <w:rFonts w:eastAsia="Times New Roman" w:cs="Arial"/>
                <w:b/>
                <w:bCs/>
                <w:color w:val="000000"/>
                <w:szCs w:val="20"/>
                <w:lang w:eastAsia="es-419"/>
              </w:rPr>
              <w:t>3</w:t>
            </w:r>
          </w:p>
        </w:tc>
      </w:tr>
      <w:tr w:rsidR="00611DA4" w:rsidRPr="00611DA4" w14:paraId="6CE3241F" w14:textId="77777777" w:rsidTr="00611DA4">
        <w:trPr>
          <w:trHeight w:val="296"/>
          <w:jc w:val="center"/>
        </w:trPr>
        <w:tc>
          <w:tcPr>
            <w:tcW w:w="2385" w:type="dxa"/>
            <w:vMerge w:val="restart"/>
            <w:tcBorders>
              <w:top w:val="nil"/>
              <w:left w:val="single" w:sz="8" w:space="0" w:color="A6A6A6"/>
              <w:bottom w:val="single" w:sz="8" w:space="0" w:color="A6A6A6"/>
              <w:right w:val="single" w:sz="8" w:space="0" w:color="A6A6A6"/>
            </w:tcBorders>
            <w:shd w:val="clear" w:color="auto" w:fill="auto"/>
            <w:noWrap/>
            <w:vAlign w:val="center"/>
            <w:hideMark/>
          </w:tcPr>
          <w:p w14:paraId="5FCE3996"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Bebidas</w:t>
            </w:r>
          </w:p>
        </w:tc>
        <w:tc>
          <w:tcPr>
            <w:tcW w:w="1858" w:type="dxa"/>
            <w:tcBorders>
              <w:top w:val="nil"/>
              <w:left w:val="nil"/>
              <w:bottom w:val="single" w:sz="8" w:space="0" w:color="A6A6A6"/>
              <w:right w:val="single" w:sz="8" w:space="0" w:color="A6A6A6"/>
            </w:tcBorders>
            <w:shd w:val="clear" w:color="auto" w:fill="auto"/>
            <w:noWrap/>
            <w:vAlign w:val="center"/>
            <w:hideMark/>
          </w:tcPr>
          <w:p w14:paraId="058415D9"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21</w:t>
            </w:r>
          </w:p>
        </w:tc>
        <w:tc>
          <w:tcPr>
            <w:tcW w:w="2008" w:type="dxa"/>
            <w:tcBorders>
              <w:top w:val="nil"/>
              <w:left w:val="nil"/>
              <w:bottom w:val="single" w:sz="8" w:space="0" w:color="A6A6A6"/>
              <w:right w:val="single" w:sz="8" w:space="0" w:color="A6A6A6"/>
            </w:tcBorders>
            <w:shd w:val="clear" w:color="auto" w:fill="auto"/>
            <w:noWrap/>
            <w:vAlign w:val="center"/>
            <w:hideMark/>
          </w:tcPr>
          <w:p w14:paraId="3746DDF4"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459,997 hL/año</w:t>
            </w:r>
          </w:p>
        </w:tc>
        <w:tc>
          <w:tcPr>
            <w:tcW w:w="2103" w:type="dxa"/>
            <w:tcBorders>
              <w:top w:val="nil"/>
              <w:left w:val="nil"/>
              <w:bottom w:val="single" w:sz="8" w:space="0" w:color="A6A6A6"/>
              <w:right w:val="single" w:sz="8" w:space="0" w:color="A6A6A6"/>
            </w:tcBorders>
            <w:shd w:val="clear" w:color="auto" w:fill="auto"/>
            <w:noWrap/>
            <w:vAlign w:val="center"/>
            <w:hideMark/>
          </w:tcPr>
          <w:p w14:paraId="34BDB55B"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68.79%</w:t>
            </w:r>
          </w:p>
        </w:tc>
      </w:tr>
      <w:tr w:rsidR="00611DA4" w:rsidRPr="00611DA4" w14:paraId="42B3E386"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60ED9EB7"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16EEAA39"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22</w:t>
            </w:r>
          </w:p>
        </w:tc>
        <w:tc>
          <w:tcPr>
            <w:tcW w:w="2008" w:type="dxa"/>
            <w:tcBorders>
              <w:top w:val="nil"/>
              <w:left w:val="nil"/>
              <w:bottom w:val="single" w:sz="8" w:space="0" w:color="A6A6A6"/>
              <w:right w:val="single" w:sz="8" w:space="0" w:color="A6A6A6"/>
            </w:tcBorders>
            <w:shd w:val="clear" w:color="auto" w:fill="auto"/>
            <w:noWrap/>
            <w:vAlign w:val="center"/>
            <w:hideMark/>
          </w:tcPr>
          <w:p w14:paraId="5D051B15"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161,146 hL/año</w:t>
            </w:r>
          </w:p>
        </w:tc>
        <w:tc>
          <w:tcPr>
            <w:tcW w:w="2103" w:type="dxa"/>
            <w:tcBorders>
              <w:top w:val="nil"/>
              <w:left w:val="nil"/>
              <w:bottom w:val="single" w:sz="8" w:space="0" w:color="A6A6A6"/>
              <w:right w:val="single" w:sz="8" w:space="0" w:color="A6A6A6"/>
            </w:tcBorders>
            <w:shd w:val="clear" w:color="auto" w:fill="auto"/>
            <w:noWrap/>
            <w:vAlign w:val="center"/>
            <w:hideMark/>
          </w:tcPr>
          <w:p w14:paraId="27ECCE52"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42.56%</w:t>
            </w:r>
          </w:p>
        </w:tc>
      </w:tr>
      <w:tr w:rsidR="00611DA4" w:rsidRPr="00611DA4" w14:paraId="67E331A7"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0A2C6D51"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656A6389"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53</w:t>
            </w:r>
          </w:p>
        </w:tc>
        <w:tc>
          <w:tcPr>
            <w:tcW w:w="2008" w:type="dxa"/>
            <w:tcBorders>
              <w:top w:val="nil"/>
              <w:left w:val="nil"/>
              <w:bottom w:val="single" w:sz="8" w:space="0" w:color="A6A6A6"/>
              <w:right w:val="single" w:sz="8" w:space="0" w:color="A6A6A6"/>
            </w:tcBorders>
            <w:shd w:val="clear" w:color="auto" w:fill="auto"/>
            <w:noWrap/>
            <w:vAlign w:val="center"/>
            <w:hideMark/>
          </w:tcPr>
          <w:p w14:paraId="3D7977EE"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96,624 hL/año</w:t>
            </w:r>
          </w:p>
        </w:tc>
        <w:tc>
          <w:tcPr>
            <w:tcW w:w="2103" w:type="dxa"/>
            <w:tcBorders>
              <w:top w:val="nil"/>
              <w:left w:val="nil"/>
              <w:bottom w:val="single" w:sz="8" w:space="0" w:color="A6A6A6"/>
              <w:right w:val="single" w:sz="8" w:space="0" w:color="A6A6A6"/>
            </w:tcBorders>
            <w:shd w:val="clear" w:color="auto" w:fill="auto"/>
            <w:noWrap/>
            <w:vAlign w:val="center"/>
            <w:hideMark/>
          </w:tcPr>
          <w:p w14:paraId="77FAB448"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31.98%</w:t>
            </w:r>
          </w:p>
        </w:tc>
      </w:tr>
      <w:tr w:rsidR="00611DA4" w:rsidRPr="00611DA4" w14:paraId="3778A74D"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11F4CB7B"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772EF22A"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55</w:t>
            </w:r>
          </w:p>
        </w:tc>
        <w:tc>
          <w:tcPr>
            <w:tcW w:w="2008" w:type="dxa"/>
            <w:tcBorders>
              <w:top w:val="nil"/>
              <w:left w:val="nil"/>
              <w:bottom w:val="single" w:sz="8" w:space="0" w:color="A6A6A6"/>
              <w:right w:val="single" w:sz="8" w:space="0" w:color="A6A6A6"/>
            </w:tcBorders>
            <w:shd w:val="clear" w:color="auto" w:fill="auto"/>
            <w:noWrap/>
            <w:vAlign w:val="center"/>
            <w:hideMark/>
          </w:tcPr>
          <w:p w14:paraId="5F0D3635"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300,961 hL/año</w:t>
            </w:r>
          </w:p>
        </w:tc>
        <w:tc>
          <w:tcPr>
            <w:tcW w:w="2103" w:type="dxa"/>
            <w:tcBorders>
              <w:top w:val="nil"/>
              <w:left w:val="nil"/>
              <w:bottom w:val="single" w:sz="8" w:space="0" w:color="A6A6A6"/>
              <w:right w:val="single" w:sz="8" w:space="0" w:color="A6A6A6"/>
            </w:tcBorders>
            <w:shd w:val="clear" w:color="auto" w:fill="auto"/>
            <w:noWrap/>
            <w:vAlign w:val="center"/>
            <w:hideMark/>
          </w:tcPr>
          <w:p w14:paraId="18E58053"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9.46%</w:t>
            </w:r>
          </w:p>
        </w:tc>
      </w:tr>
      <w:tr w:rsidR="00611DA4" w:rsidRPr="00611DA4" w14:paraId="44367B79"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2AB702D3"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49F427ED"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56</w:t>
            </w:r>
          </w:p>
        </w:tc>
        <w:tc>
          <w:tcPr>
            <w:tcW w:w="2008" w:type="dxa"/>
            <w:tcBorders>
              <w:top w:val="nil"/>
              <w:left w:val="nil"/>
              <w:bottom w:val="single" w:sz="8" w:space="0" w:color="A6A6A6"/>
              <w:right w:val="single" w:sz="8" w:space="0" w:color="A6A6A6"/>
            </w:tcBorders>
            <w:shd w:val="clear" w:color="auto" w:fill="auto"/>
            <w:noWrap/>
            <w:vAlign w:val="center"/>
            <w:hideMark/>
          </w:tcPr>
          <w:p w14:paraId="36AC8FAE"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238,238 hL/año</w:t>
            </w:r>
          </w:p>
        </w:tc>
        <w:tc>
          <w:tcPr>
            <w:tcW w:w="2103" w:type="dxa"/>
            <w:tcBorders>
              <w:top w:val="nil"/>
              <w:left w:val="nil"/>
              <w:bottom w:val="single" w:sz="8" w:space="0" w:color="A6A6A6"/>
              <w:right w:val="single" w:sz="8" w:space="0" w:color="A6A6A6"/>
            </w:tcBorders>
            <w:shd w:val="clear" w:color="auto" w:fill="auto"/>
            <w:noWrap/>
            <w:vAlign w:val="center"/>
            <w:hideMark/>
          </w:tcPr>
          <w:p w14:paraId="1510E539"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90.39%</w:t>
            </w:r>
          </w:p>
        </w:tc>
      </w:tr>
      <w:tr w:rsidR="00611DA4" w:rsidRPr="00611DA4" w14:paraId="4E22AE10" w14:textId="77777777" w:rsidTr="00611DA4">
        <w:trPr>
          <w:trHeight w:val="296"/>
          <w:jc w:val="center"/>
        </w:trPr>
        <w:tc>
          <w:tcPr>
            <w:tcW w:w="2385"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792B9A89"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Alimentos</w:t>
            </w:r>
          </w:p>
        </w:tc>
        <w:tc>
          <w:tcPr>
            <w:tcW w:w="1858" w:type="dxa"/>
            <w:tcBorders>
              <w:top w:val="nil"/>
              <w:left w:val="nil"/>
              <w:bottom w:val="single" w:sz="8" w:space="0" w:color="A6A6A6"/>
              <w:right w:val="single" w:sz="8" w:space="0" w:color="A6A6A6"/>
            </w:tcBorders>
            <w:shd w:val="clear" w:color="auto" w:fill="auto"/>
            <w:noWrap/>
            <w:vAlign w:val="center"/>
            <w:hideMark/>
          </w:tcPr>
          <w:p w14:paraId="18D461D9"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11</w:t>
            </w:r>
          </w:p>
        </w:tc>
        <w:tc>
          <w:tcPr>
            <w:tcW w:w="2008" w:type="dxa"/>
            <w:tcBorders>
              <w:top w:val="nil"/>
              <w:left w:val="nil"/>
              <w:bottom w:val="single" w:sz="8" w:space="0" w:color="A6A6A6"/>
              <w:right w:val="single" w:sz="8" w:space="0" w:color="A6A6A6"/>
            </w:tcBorders>
            <w:shd w:val="clear" w:color="auto" w:fill="auto"/>
            <w:noWrap/>
            <w:vAlign w:val="center"/>
            <w:hideMark/>
          </w:tcPr>
          <w:p w14:paraId="26BA80D9"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11,240 Ton/año</w:t>
            </w:r>
          </w:p>
        </w:tc>
        <w:tc>
          <w:tcPr>
            <w:tcW w:w="2103" w:type="dxa"/>
            <w:tcBorders>
              <w:top w:val="nil"/>
              <w:left w:val="nil"/>
              <w:bottom w:val="single" w:sz="8" w:space="0" w:color="A6A6A6"/>
              <w:right w:val="single" w:sz="8" w:space="0" w:color="A6A6A6"/>
            </w:tcBorders>
            <w:shd w:val="clear" w:color="auto" w:fill="auto"/>
            <w:noWrap/>
            <w:vAlign w:val="center"/>
            <w:hideMark/>
          </w:tcPr>
          <w:p w14:paraId="5BEDD574"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75.08%</w:t>
            </w:r>
          </w:p>
        </w:tc>
      </w:tr>
      <w:tr w:rsidR="00611DA4" w:rsidRPr="00611DA4" w14:paraId="075D341F"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237C7D5F"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79E26C04"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34</w:t>
            </w:r>
          </w:p>
        </w:tc>
        <w:tc>
          <w:tcPr>
            <w:tcW w:w="2008" w:type="dxa"/>
            <w:tcBorders>
              <w:top w:val="nil"/>
              <w:left w:val="nil"/>
              <w:bottom w:val="single" w:sz="8" w:space="0" w:color="A6A6A6"/>
              <w:right w:val="single" w:sz="8" w:space="0" w:color="A6A6A6"/>
            </w:tcBorders>
            <w:shd w:val="clear" w:color="auto" w:fill="auto"/>
            <w:noWrap/>
            <w:vAlign w:val="center"/>
            <w:hideMark/>
          </w:tcPr>
          <w:p w14:paraId="7E56D2BB"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2,680 Ton/año</w:t>
            </w:r>
          </w:p>
        </w:tc>
        <w:tc>
          <w:tcPr>
            <w:tcW w:w="2103" w:type="dxa"/>
            <w:tcBorders>
              <w:top w:val="nil"/>
              <w:left w:val="nil"/>
              <w:bottom w:val="single" w:sz="8" w:space="0" w:color="A6A6A6"/>
              <w:right w:val="single" w:sz="8" w:space="0" w:color="A6A6A6"/>
            </w:tcBorders>
            <w:shd w:val="clear" w:color="auto" w:fill="auto"/>
            <w:noWrap/>
            <w:vAlign w:val="center"/>
            <w:hideMark/>
          </w:tcPr>
          <w:p w14:paraId="63DF44BF"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80.52%</w:t>
            </w:r>
          </w:p>
        </w:tc>
      </w:tr>
      <w:tr w:rsidR="00611DA4" w:rsidRPr="00611DA4" w14:paraId="1801772C"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1DA54FD9"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69F4EF5A"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36</w:t>
            </w:r>
          </w:p>
        </w:tc>
        <w:tc>
          <w:tcPr>
            <w:tcW w:w="2008" w:type="dxa"/>
            <w:tcBorders>
              <w:top w:val="nil"/>
              <w:left w:val="nil"/>
              <w:bottom w:val="single" w:sz="8" w:space="0" w:color="A6A6A6"/>
              <w:right w:val="single" w:sz="8" w:space="0" w:color="A6A6A6"/>
            </w:tcBorders>
            <w:shd w:val="clear" w:color="auto" w:fill="auto"/>
            <w:noWrap/>
            <w:vAlign w:val="center"/>
            <w:hideMark/>
          </w:tcPr>
          <w:p w14:paraId="748F4062"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13,764 Ton/año</w:t>
            </w:r>
          </w:p>
        </w:tc>
        <w:tc>
          <w:tcPr>
            <w:tcW w:w="2103" w:type="dxa"/>
            <w:tcBorders>
              <w:top w:val="nil"/>
              <w:left w:val="nil"/>
              <w:bottom w:val="single" w:sz="8" w:space="0" w:color="A6A6A6"/>
              <w:right w:val="single" w:sz="8" w:space="0" w:color="A6A6A6"/>
            </w:tcBorders>
            <w:shd w:val="clear" w:color="auto" w:fill="auto"/>
            <w:noWrap/>
            <w:vAlign w:val="center"/>
            <w:hideMark/>
          </w:tcPr>
          <w:p w14:paraId="36A5F6FF"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98.99%</w:t>
            </w:r>
          </w:p>
        </w:tc>
      </w:tr>
      <w:tr w:rsidR="00611DA4" w:rsidRPr="00611DA4" w14:paraId="0313251A"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0B4580FE"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047257FC"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37</w:t>
            </w:r>
          </w:p>
        </w:tc>
        <w:tc>
          <w:tcPr>
            <w:tcW w:w="2008" w:type="dxa"/>
            <w:tcBorders>
              <w:top w:val="nil"/>
              <w:left w:val="nil"/>
              <w:bottom w:val="single" w:sz="8" w:space="0" w:color="A6A6A6"/>
              <w:right w:val="single" w:sz="8" w:space="0" w:color="A6A6A6"/>
            </w:tcBorders>
            <w:shd w:val="clear" w:color="auto" w:fill="auto"/>
            <w:noWrap/>
            <w:vAlign w:val="center"/>
            <w:hideMark/>
          </w:tcPr>
          <w:p w14:paraId="31A60B81"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9,211 Ton/año</w:t>
            </w:r>
          </w:p>
        </w:tc>
        <w:tc>
          <w:tcPr>
            <w:tcW w:w="2103" w:type="dxa"/>
            <w:tcBorders>
              <w:top w:val="nil"/>
              <w:left w:val="nil"/>
              <w:bottom w:val="single" w:sz="8" w:space="0" w:color="A6A6A6"/>
              <w:right w:val="single" w:sz="8" w:space="0" w:color="A6A6A6"/>
            </w:tcBorders>
            <w:shd w:val="clear" w:color="auto" w:fill="auto"/>
            <w:noWrap/>
            <w:vAlign w:val="center"/>
            <w:hideMark/>
          </w:tcPr>
          <w:p w14:paraId="4A142D1A"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93.41%</w:t>
            </w:r>
          </w:p>
        </w:tc>
      </w:tr>
      <w:tr w:rsidR="00611DA4" w:rsidRPr="00611DA4" w14:paraId="613CBA18"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10830414"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0D403E80"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val="es-419" w:eastAsia="es-419"/>
              </w:rPr>
              <w:t>Línea 38</w:t>
            </w:r>
          </w:p>
        </w:tc>
        <w:tc>
          <w:tcPr>
            <w:tcW w:w="2008" w:type="dxa"/>
            <w:tcBorders>
              <w:top w:val="nil"/>
              <w:left w:val="nil"/>
              <w:bottom w:val="single" w:sz="8" w:space="0" w:color="A6A6A6"/>
              <w:right w:val="single" w:sz="8" w:space="0" w:color="A6A6A6"/>
            </w:tcBorders>
            <w:shd w:val="clear" w:color="auto" w:fill="auto"/>
            <w:noWrap/>
            <w:vAlign w:val="center"/>
            <w:hideMark/>
          </w:tcPr>
          <w:p w14:paraId="74AA66B3"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3,241 Ton/año</w:t>
            </w:r>
          </w:p>
        </w:tc>
        <w:tc>
          <w:tcPr>
            <w:tcW w:w="2103" w:type="dxa"/>
            <w:tcBorders>
              <w:top w:val="nil"/>
              <w:left w:val="nil"/>
              <w:bottom w:val="single" w:sz="8" w:space="0" w:color="A6A6A6"/>
              <w:right w:val="single" w:sz="8" w:space="0" w:color="A6A6A6"/>
            </w:tcBorders>
            <w:shd w:val="clear" w:color="auto" w:fill="auto"/>
            <w:noWrap/>
            <w:vAlign w:val="center"/>
            <w:hideMark/>
          </w:tcPr>
          <w:p w14:paraId="4832D5B1"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50.46%</w:t>
            </w:r>
          </w:p>
        </w:tc>
      </w:tr>
      <w:tr w:rsidR="00611DA4" w:rsidRPr="00611DA4" w14:paraId="43A30C05"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71BC1FE7"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5920E46A"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42</w:t>
            </w:r>
          </w:p>
        </w:tc>
        <w:tc>
          <w:tcPr>
            <w:tcW w:w="2008" w:type="dxa"/>
            <w:tcBorders>
              <w:top w:val="nil"/>
              <w:left w:val="nil"/>
              <w:bottom w:val="single" w:sz="8" w:space="0" w:color="A6A6A6"/>
              <w:right w:val="single" w:sz="8" w:space="0" w:color="A6A6A6"/>
            </w:tcBorders>
            <w:shd w:val="clear" w:color="auto" w:fill="auto"/>
            <w:noWrap/>
            <w:vAlign w:val="center"/>
            <w:hideMark/>
          </w:tcPr>
          <w:p w14:paraId="5DE7AE51"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2,653 Ton/año</w:t>
            </w:r>
          </w:p>
        </w:tc>
        <w:tc>
          <w:tcPr>
            <w:tcW w:w="2103" w:type="dxa"/>
            <w:tcBorders>
              <w:top w:val="nil"/>
              <w:left w:val="nil"/>
              <w:bottom w:val="single" w:sz="8" w:space="0" w:color="A6A6A6"/>
              <w:right w:val="single" w:sz="8" w:space="0" w:color="A6A6A6"/>
            </w:tcBorders>
            <w:shd w:val="clear" w:color="auto" w:fill="auto"/>
            <w:noWrap/>
            <w:vAlign w:val="center"/>
            <w:hideMark/>
          </w:tcPr>
          <w:p w14:paraId="1C174447"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5.87%</w:t>
            </w:r>
          </w:p>
        </w:tc>
      </w:tr>
      <w:tr w:rsidR="00611DA4" w:rsidRPr="00611DA4" w14:paraId="3978ACF3"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6110E671"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606579F4"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43</w:t>
            </w:r>
          </w:p>
        </w:tc>
        <w:tc>
          <w:tcPr>
            <w:tcW w:w="2008" w:type="dxa"/>
            <w:tcBorders>
              <w:top w:val="nil"/>
              <w:left w:val="nil"/>
              <w:bottom w:val="single" w:sz="8" w:space="0" w:color="A6A6A6"/>
              <w:right w:val="single" w:sz="8" w:space="0" w:color="A6A6A6"/>
            </w:tcBorders>
            <w:shd w:val="clear" w:color="auto" w:fill="auto"/>
            <w:noWrap/>
            <w:vAlign w:val="center"/>
            <w:hideMark/>
          </w:tcPr>
          <w:p w14:paraId="30047DFA"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22,514 Ton/año</w:t>
            </w:r>
          </w:p>
        </w:tc>
        <w:tc>
          <w:tcPr>
            <w:tcW w:w="2103" w:type="dxa"/>
            <w:tcBorders>
              <w:top w:val="nil"/>
              <w:left w:val="nil"/>
              <w:bottom w:val="single" w:sz="8" w:space="0" w:color="A6A6A6"/>
              <w:right w:val="single" w:sz="8" w:space="0" w:color="A6A6A6"/>
            </w:tcBorders>
            <w:shd w:val="clear" w:color="auto" w:fill="auto"/>
            <w:noWrap/>
            <w:vAlign w:val="center"/>
            <w:hideMark/>
          </w:tcPr>
          <w:p w14:paraId="3761AEB8"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49.78%</w:t>
            </w:r>
          </w:p>
        </w:tc>
      </w:tr>
      <w:tr w:rsidR="00611DA4" w:rsidRPr="00611DA4" w14:paraId="6A2EE332"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658FB387"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54E7264C"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46</w:t>
            </w:r>
          </w:p>
        </w:tc>
        <w:tc>
          <w:tcPr>
            <w:tcW w:w="2008" w:type="dxa"/>
            <w:tcBorders>
              <w:top w:val="nil"/>
              <w:left w:val="nil"/>
              <w:bottom w:val="single" w:sz="8" w:space="0" w:color="A6A6A6"/>
              <w:right w:val="single" w:sz="8" w:space="0" w:color="A6A6A6"/>
            </w:tcBorders>
            <w:shd w:val="clear" w:color="auto" w:fill="auto"/>
            <w:noWrap/>
            <w:vAlign w:val="center"/>
            <w:hideMark/>
          </w:tcPr>
          <w:p w14:paraId="42B50CCC"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13,500 Ton/año</w:t>
            </w:r>
          </w:p>
        </w:tc>
        <w:tc>
          <w:tcPr>
            <w:tcW w:w="2103" w:type="dxa"/>
            <w:tcBorders>
              <w:top w:val="nil"/>
              <w:left w:val="nil"/>
              <w:bottom w:val="single" w:sz="8" w:space="0" w:color="A6A6A6"/>
              <w:right w:val="single" w:sz="8" w:space="0" w:color="A6A6A6"/>
            </w:tcBorders>
            <w:shd w:val="clear" w:color="auto" w:fill="auto"/>
            <w:noWrap/>
            <w:vAlign w:val="center"/>
            <w:hideMark/>
          </w:tcPr>
          <w:p w14:paraId="36B8CA1F"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16.19%</w:t>
            </w:r>
          </w:p>
        </w:tc>
      </w:tr>
      <w:bookmarkEnd w:id="147"/>
    </w:tbl>
    <w:p w14:paraId="482D4F2D" w14:textId="77777777" w:rsidR="007605E6" w:rsidRDefault="007605E6" w:rsidP="007605E6">
      <w:pPr>
        <w:rPr>
          <w:rFonts w:cs="Arial"/>
          <w:szCs w:val="20"/>
        </w:rPr>
      </w:pPr>
    </w:p>
    <w:p w14:paraId="69EB8677" w14:textId="77777777" w:rsidR="0099549C" w:rsidRDefault="0099549C" w:rsidP="007605E6">
      <w:pPr>
        <w:rPr>
          <w:rFonts w:cs="Arial"/>
          <w:szCs w:val="20"/>
        </w:rPr>
      </w:pPr>
    </w:p>
    <w:p w14:paraId="0D05BF4E" w14:textId="77777777" w:rsidR="0099549C" w:rsidRDefault="0099549C" w:rsidP="007605E6">
      <w:pPr>
        <w:rPr>
          <w:rFonts w:cs="Arial"/>
          <w:szCs w:val="20"/>
        </w:rPr>
      </w:pPr>
    </w:p>
    <w:p w14:paraId="096854F0" w14:textId="77777777" w:rsidR="0099549C" w:rsidRDefault="0099549C" w:rsidP="007605E6">
      <w:pPr>
        <w:rPr>
          <w:rFonts w:cs="Arial"/>
          <w:szCs w:val="20"/>
        </w:rPr>
      </w:pPr>
    </w:p>
    <w:p w14:paraId="4A401E74" w14:textId="77777777" w:rsidR="0099549C" w:rsidRPr="00382A62" w:rsidRDefault="0099549C" w:rsidP="007605E6">
      <w:pPr>
        <w:rPr>
          <w:rFonts w:cs="Arial"/>
          <w:szCs w:val="20"/>
        </w:rPr>
      </w:pPr>
    </w:p>
    <w:p w14:paraId="0D4359E0" w14:textId="72C726E2" w:rsidR="007605E6" w:rsidRDefault="007605E6" w:rsidP="007605E6">
      <w:pPr>
        <w:rPr>
          <w:rFonts w:cs="Arial"/>
          <w:szCs w:val="20"/>
        </w:rPr>
      </w:pPr>
      <w:r w:rsidRPr="00382A62">
        <w:rPr>
          <w:rFonts w:cs="Arial"/>
          <w:b/>
          <w:bCs/>
          <w:szCs w:val="20"/>
        </w:rPr>
        <w:lastRenderedPageBreak/>
        <w:t>Planta de producción #4:</w:t>
      </w:r>
      <w:r w:rsidRPr="00382A62">
        <w:rPr>
          <w:rFonts w:cs="Arial"/>
          <w:szCs w:val="20"/>
        </w:rPr>
        <w:t xml:space="preserve"> es la encargada de la elaboración de productos de panadería</w:t>
      </w:r>
      <w:r w:rsidR="00BA4858" w:rsidRPr="00382A62">
        <w:rPr>
          <w:rFonts w:cs="Arial"/>
          <w:szCs w:val="20"/>
        </w:rPr>
        <w:t>,</w:t>
      </w:r>
      <w:r w:rsidRPr="00382A62">
        <w:rPr>
          <w:rFonts w:cs="Arial"/>
          <w:szCs w:val="20"/>
        </w:rPr>
        <w:t xml:space="preserve"> ubicada en La Uruca</w:t>
      </w:r>
      <w:r w:rsidR="00BA4858" w:rsidRPr="00382A62">
        <w:rPr>
          <w:rFonts w:cs="Arial"/>
          <w:szCs w:val="20"/>
        </w:rPr>
        <w:t>,</w:t>
      </w:r>
      <w:r w:rsidRPr="00382A62">
        <w:rPr>
          <w:rFonts w:cs="Arial"/>
          <w:szCs w:val="20"/>
        </w:rPr>
        <w:t xml:space="preserve"> San José</w:t>
      </w:r>
      <w:r w:rsidR="00BA4858" w:rsidRPr="00382A62">
        <w:rPr>
          <w:rFonts w:cs="Arial"/>
          <w:szCs w:val="20"/>
        </w:rPr>
        <w:t>,</w:t>
      </w:r>
      <w:r w:rsidRPr="00382A62">
        <w:rPr>
          <w:rFonts w:cs="Arial"/>
          <w:szCs w:val="20"/>
        </w:rPr>
        <w:t xml:space="preserve"> Costa Rica. La capacidad instalada de dicha planta es:</w:t>
      </w:r>
    </w:p>
    <w:p w14:paraId="6A389B5A" w14:textId="04AA85B7" w:rsidR="007605E6" w:rsidRPr="00382A62" w:rsidRDefault="007605E6" w:rsidP="007605E6">
      <w:pPr>
        <w:pStyle w:val="Descripcin"/>
        <w:rPr>
          <w:rFonts w:cs="Arial"/>
          <w:szCs w:val="20"/>
        </w:rPr>
      </w:pPr>
      <w:bookmarkStart w:id="148" w:name="_Toc169624731"/>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35</w:t>
      </w:r>
      <w:r w:rsidR="00423C23" w:rsidRPr="00382A62">
        <w:rPr>
          <w:rFonts w:cs="Arial"/>
          <w:noProof/>
          <w:szCs w:val="20"/>
        </w:rPr>
        <w:fldChar w:fldCharType="end"/>
      </w:r>
      <w:r w:rsidRPr="00382A62">
        <w:rPr>
          <w:rFonts w:cs="Arial"/>
          <w:szCs w:val="20"/>
        </w:rPr>
        <w:t xml:space="preserve"> - Capacidad Instalada de Planta de Producción #4</w:t>
      </w:r>
      <w:bookmarkEnd w:id="148"/>
    </w:p>
    <w:tbl>
      <w:tblPr>
        <w:tblW w:w="778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2547"/>
        <w:gridCol w:w="2620"/>
        <w:gridCol w:w="2620"/>
      </w:tblGrid>
      <w:tr w:rsidR="007605E6" w:rsidRPr="00382A62" w14:paraId="7B4A64A3" w14:textId="77777777" w:rsidTr="007D00B2">
        <w:trPr>
          <w:trHeight w:val="318"/>
          <w:jc w:val="center"/>
        </w:trPr>
        <w:tc>
          <w:tcPr>
            <w:tcW w:w="2547" w:type="dxa"/>
            <w:shd w:val="clear" w:color="auto" w:fill="F2F2F2" w:themeFill="background1" w:themeFillShade="F2"/>
            <w:noWrap/>
            <w:tcMar>
              <w:top w:w="0" w:type="dxa"/>
              <w:left w:w="70" w:type="dxa"/>
              <w:bottom w:w="0" w:type="dxa"/>
              <w:right w:w="70" w:type="dxa"/>
            </w:tcMar>
            <w:vAlign w:val="center"/>
            <w:hideMark/>
          </w:tcPr>
          <w:p w14:paraId="18ACC515" w14:textId="77777777" w:rsidR="007605E6" w:rsidRPr="00382A62" w:rsidRDefault="007605E6" w:rsidP="007D00B2">
            <w:pPr>
              <w:spacing w:after="0" w:line="240" w:lineRule="auto"/>
              <w:jc w:val="center"/>
              <w:rPr>
                <w:rFonts w:eastAsia="Times New Roman" w:cs="Arial"/>
                <w:szCs w:val="20"/>
                <w:lang w:eastAsia="es-ES_tradnl"/>
              </w:rPr>
            </w:pPr>
            <w:bookmarkStart w:id="149" w:name="_Hlk94684565"/>
            <w:r w:rsidRPr="00382A62">
              <w:rPr>
                <w:rFonts w:eastAsia="Times New Roman" w:cs="Arial"/>
                <w:b/>
                <w:bCs/>
                <w:color w:val="000000"/>
                <w:szCs w:val="20"/>
                <w:lang w:eastAsia="es-ES_tradnl"/>
              </w:rPr>
              <w:t>Línea</w:t>
            </w:r>
          </w:p>
        </w:tc>
        <w:tc>
          <w:tcPr>
            <w:tcW w:w="2620" w:type="dxa"/>
            <w:shd w:val="clear" w:color="auto" w:fill="F2F2F2" w:themeFill="background1" w:themeFillShade="F2"/>
            <w:tcMar>
              <w:top w:w="0" w:type="dxa"/>
              <w:left w:w="70" w:type="dxa"/>
              <w:bottom w:w="0" w:type="dxa"/>
              <w:right w:w="70" w:type="dxa"/>
            </w:tcMar>
            <w:vAlign w:val="center"/>
            <w:hideMark/>
          </w:tcPr>
          <w:p w14:paraId="371173FF" w14:textId="77777777" w:rsidR="007605E6" w:rsidRPr="00382A62" w:rsidRDefault="007605E6" w:rsidP="007D00B2">
            <w:pPr>
              <w:spacing w:after="0" w:line="240" w:lineRule="auto"/>
              <w:jc w:val="center"/>
              <w:rPr>
                <w:rFonts w:eastAsia="Times New Roman" w:cs="Arial"/>
                <w:szCs w:val="20"/>
                <w:lang w:eastAsia="es-ES_tradnl"/>
              </w:rPr>
            </w:pPr>
            <w:r w:rsidRPr="00382A62">
              <w:rPr>
                <w:rFonts w:eastAsia="Times New Roman" w:cs="Arial"/>
                <w:b/>
                <w:bCs/>
                <w:color w:val="000000"/>
                <w:szCs w:val="20"/>
                <w:lang w:eastAsia="es-ES_tradnl"/>
              </w:rPr>
              <w:t>Capacidad instalada (kg/h)</w:t>
            </w:r>
          </w:p>
        </w:tc>
        <w:tc>
          <w:tcPr>
            <w:tcW w:w="2620" w:type="dxa"/>
            <w:shd w:val="clear" w:color="auto" w:fill="F2F2F2" w:themeFill="background1" w:themeFillShade="F2"/>
            <w:tcMar>
              <w:top w:w="0" w:type="dxa"/>
              <w:left w:w="70" w:type="dxa"/>
              <w:bottom w:w="0" w:type="dxa"/>
              <w:right w:w="70" w:type="dxa"/>
            </w:tcMar>
            <w:vAlign w:val="center"/>
            <w:hideMark/>
          </w:tcPr>
          <w:p w14:paraId="339BCE69" w14:textId="77777777" w:rsidR="007605E6" w:rsidRPr="00382A62" w:rsidRDefault="007605E6" w:rsidP="007D00B2">
            <w:pPr>
              <w:spacing w:after="0" w:line="240" w:lineRule="auto"/>
              <w:jc w:val="center"/>
              <w:rPr>
                <w:rFonts w:eastAsia="Times New Roman" w:cs="Arial"/>
                <w:b/>
                <w:bCs/>
                <w:color w:val="000000" w:themeColor="text1"/>
                <w:szCs w:val="20"/>
                <w:lang w:eastAsia="es-ES"/>
              </w:rPr>
            </w:pPr>
            <w:r w:rsidRPr="00382A62">
              <w:rPr>
                <w:rFonts w:eastAsia="Times New Roman" w:cs="Arial"/>
                <w:b/>
                <w:bCs/>
                <w:color w:val="000000" w:themeColor="text1"/>
                <w:szCs w:val="20"/>
                <w:lang w:eastAsia="es-ES"/>
              </w:rPr>
              <w:t>% de Utilización 2022</w:t>
            </w:r>
          </w:p>
        </w:tc>
      </w:tr>
      <w:tr w:rsidR="007605E6" w:rsidRPr="00382A62" w14:paraId="4D794924" w14:textId="77777777" w:rsidTr="007D00B2">
        <w:trPr>
          <w:trHeight w:val="318"/>
          <w:jc w:val="center"/>
        </w:trPr>
        <w:tc>
          <w:tcPr>
            <w:tcW w:w="2547" w:type="dxa"/>
            <w:noWrap/>
            <w:tcMar>
              <w:top w:w="0" w:type="dxa"/>
              <w:left w:w="70" w:type="dxa"/>
              <w:bottom w:w="0" w:type="dxa"/>
              <w:right w:w="70" w:type="dxa"/>
            </w:tcMar>
            <w:vAlign w:val="center"/>
            <w:hideMark/>
          </w:tcPr>
          <w:p w14:paraId="7003C0E4" w14:textId="77777777" w:rsidR="007605E6" w:rsidRPr="00382A62" w:rsidRDefault="007605E6" w:rsidP="007D00B2">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1 – Mecatherm</w:t>
            </w:r>
          </w:p>
        </w:tc>
        <w:tc>
          <w:tcPr>
            <w:tcW w:w="2620" w:type="dxa"/>
            <w:shd w:val="clear" w:color="auto" w:fill="auto"/>
            <w:noWrap/>
            <w:tcMar>
              <w:top w:w="0" w:type="dxa"/>
              <w:left w:w="70" w:type="dxa"/>
              <w:bottom w:w="0" w:type="dxa"/>
              <w:right w:w="70" w:type="dxa"/>
            </w:tcMar>
            <w:vAlign w:val="center"/>
          </w:tcPr>
          <w:p w14:paraId="5B0BD872" w14:textId="28D3FEA6" w:rsidR="007605E6" w:rsidRPr="00382A62" w:rsidRDefault="000D11B9" w:rsidP="00973D33">
            <w:pPr>
              <w:spacing w:after="0" w:line="240" w:lineRule="auto"/>
              <w:jc w:val="center"/>
              <w:rPr>
                <w:rFonts w:cs="Arial"/>
                <w:color w:val="000000" w:themeColor="text1"/>
                <w:szCs w:val="20"/>
                <w:lang w:eastAsia="es-ES_tradnl"/>
              </w:rPr>
            </w:pPr>
            <w:r w:rsidRPr="00382A62">
              <w:rPr>
                <w:rFonts w:cs="Arial"/>
                <w:color w:val="000000" w:themeColor="text1"/>
                <w:szCs w:val="20"/>
              </w:rPr>
              <w:t>448.26</w:t>
            </w:r>
          </w:p>
        </w:tc>
        <w:tc>
          <w:tcPr>
            <w:tcW w:w="2620" w:type="dxa"/>
            <w:shd w:val="clear" w:color="auto" w:fill="auto"/>
            <w:noWrap/>
            <w:tcMar>
              <w:top w:w="0" w:type="dxa"/>
              <w:left w:w="70" w:type="dxa"/>
              <w:bottom w:w="0" w:type="dxa"/>
              <w:right w:w="70" w:type="dxa"/>
            </w:tcMar>
            <w:vAlign w:val="center"/>
          </w:tcPr>
          <w:p w14:paraId="707B83B9" w14:textId="34763EA7" w:rsidR="007605E6" w:rsidRPr="00382A62" w:rsidRDefault="007B7F4F" w:rsidP="00973D33">
            <w:pPr>
              <w:spacing w:after="0" w:line="240" w:lineRule="auto"/>
              <w:jc w:val="center"/>
              <w:rPr>
                <w:rFonts w:cs="Arial"/>
                <w:color w:val="000000" w:themeColor="text1"/>
                <w:szCs w:val="20"/>
                <w:lang w:eastAsia="es-ES_tradnl"/>
              </w:rPr>
            </w:pPr>
            <w:r w:rsidRPr="00382A62">
              <w:rPr>
                <w:rFonts w:cs="Arial"/>
                <w:color w:val="000000" w:themeColor="text1"/>
                <w:szCs w:val="20"/>
                <w:lang w:eastAsia="es-ES_tradnl"/>
              </w:rPr>
              <w:t>45.41</w:t>
            </w:r>
            <w:r w:rsidR="003E0B6B" w:rsidRPr="00382A62">
              <w:rPr>
                <w:rFonts w:cs="Arial"/>
                <w:color w:val="000000" w:themeColor="text1"/>
                <w:szCs w:val="20"/>
                <w:lang w:eastAsia="es-ES_tradnl"/>
              </w:rPr>
              <w:t>%</w:t>
            </w:r>
          </w:p>
        </w:tc>
      </w:tr>
      <w:tr w:rsidR="007605E6" w:rsidRPr="00382A62" w14:paraId="4D00391C" w14:textId="77777777" w:rsidTr="007D00B2">
        <w:trPr>
          <w:trHeight w:val="318"/>
          <w:jc w:val="center"/>
        </w:trPr>
        <w:tc>
          <w:tcPr>
            <w:tcW w:w="2547" w:type="dxa"/>
            <w:noWrap/>
            <w:tcMar>
              <w:top w:w="0" w:type="dxa"/>
              <w:left w:w="70" w:type="dxa"/>
              <w:bottom w:w="0" w:type="dxa"/>
              <w:right w:w="70" w:type="dxa"/>
            </w:tcMar>
            <w:vAlign w:val="center"/>
            <w:hideMark/>
          </w:tcPr>
          <w:p w14:paraId="40F7CA83" w14:textId="77777777" w:rsidR="007605E6" w:rsidRPr="00382A62" w:rsidRDefault="007605E6" w:rsidP="007D00B2">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2 – Mecatherm</w:t>
            </w:r>
          </w:p>
        </w:tc>
        <w:tc>
          <w:tcPr>
            <w:tcW w:w="2620" w:type="dxa"/>
            <w:shd w:val="clear" w:color="auto" w:fill="auto"/>
            <w:noWrap/>
            <w:tcMar>
              <w:top w:w="0" w:type="dxa"/>
              <w:left w:w="70" w:type="dxa"/>
              <w:bottom w:w="0" w:type="dxa"/>
              <w:right w:w="70" w:type="dxa"/>
            </w:tcMar>
            <w:vAlign w:val="center"/>
          </w:tcPr>
          <w:p w14:paraId="7D20D4A9" w14:textId="462A9AD0" w:rsidR="007605E6" w:rsidRPr="00382A62" w:rsidRDefault="000D11B9" w:rsidP="00973D33">
            <w:pPr>
              <w:spacing w:after="0" w:line="240" w:lineRule="auto"/>
              <w:jc w:val="center"/>
              <w:rPr>
                <w:rFonts w:cs="Arial"/>
                <w:color w:val="000000" w:themeColor="text1"/>
                <w:szCs w:val="20"/>
                <w:lang w:eastAsia="es-ES_tradnl"/>
              </w:rPr>
            </w:pPr>
            <w:r w:rsidRPr="00382A62">
              <w:rPr>
                <w:rFonts w:cs="Arial"/>
                <w:color w:val="000000" w:themeColor="text1"/>
                <w:szCs w:val="20"/>
              </w:rPr>
              <w:t>562.25</w:t>
            </w:r>
          </w:p>
        </w:tc>
        <w:tc>
          <w:tcPr>
            <w:tcW w:w="2620" w:type="dxa"/>
            <w:shd w:val="clear" w:color="auto" w:fill="auto"/>
            <w:noWrap/>
            <w:tcMar>
              <w:top w:w="0" w:type="dxa"/>
              <w:left w:w="70" w:type="dxa"/>
              <w:bottom w:w="0" w:type="dxa"/>
              <w:right w:w="70" w:type="dxa"/>
            </w:tcMar>
            <w:vAlign w:val="center"/>
          </w:tcPr>
          <w:p w14:paraId="6F8B45C3" w14:textId="49143C92" w:rsidR="007605E6" w:rsidRPr="00382A62" w:rsidRDefault="003E0B6B" w:rsidP="00973D33">
            <w:pPr>
              <w:spacing w:after="0" w:line="240" w:lineRule="auto"/>
              <w:jc w:val="center"/>
              <w:rPr>
                <w:rFonts w:eastAsia="Times New Roman" w:cs="Arial"/>
                <w:szCs w:val="20"/>
                <w:lang w:eastAsia="es-ES"/>
              </w:rPr>
            </w:pPr>
            <w:r w:rsidRPr="00382A62">
              <w:rPr>
                <w:rFonts w:eastAsia="Times New Roman" w:cs="Arial"/>
                <w:szCs w:val="20"/>
                <w:lang w:eastAsia="es-ES"/>
              </w:rPr>
              <w:t>65.00%</w:t>
            </w:r>
          </w:p>
        </w:tc>
      </w:tr>
      <w:tr w:rsidR="007605E6" w:rsidRPr="00382A62" w14:paraId="13895D7E" w14:textId="77777777" w:rsidTr="007D00B2">
        <w:trPr>
          <w:trHeight w:val="318"/>
          <w:jc w:val="center"/>
        </w:trPr>
        <w:tc>
          <w:tcPr>
            <w:tcW w:w="2547" w:type="dxa"/>
            <w:noWrap/>
            <w:tcMar>
              <w:top w:w="0" w:type="dxa"/>
              <w:left w:w="70" w:type="dxa"/>
              <w:bottom w:w="0" w:type="dxa"/>
              <w:right w:w="70" w:type="dxa"/>
            </w:tcMar>
            <w:vAlign w:val="center"/>
            <w:hideMark/>
          </w:tcPr>
          <w:p w14:paraId="1C9BB6F9" w14:textId="77777777" w:rsidR="007605E6" w:rsidRPr="00382A62" w:rsidRDefault="007605E6" w:rsidP="007D00B2">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3 – Mecatherm</w:t>
            </w:r>
          </w:p>
        </w:tc>
        <w:tc>
          <w:tcPr>
            <w:tcW w:w="2620" w:type="dxa"/>
            <w:shd w:val="clear" w:color="auto" w:fill="auto"/>
            <w:noWrap/>
            <w:tcMar>
              <w:top w:w="0" w:type="dxa"/>
              <w:left w:w="70" w:type="dxa"/>
              <w:bottom w:w="0" w:type="dxa"/>
              <w:right w:w="70" w:type="dxa"/>
            </w:tcMar>
            <w:vAlign w:val="center"/>
          </w:tcPr>
          <w:p w14:paraId="1CC73318" w14:textId="738C4A7C" w:rsidR="007605E6" w:rsidRPr="00382A62" w:rsidRDefault="000D11B9" w:rsidP="00973D33">
            <w:pPr>
              <w:spacing w:after="0" w:line="240" w:lineRule="auto"/>
              <w:jc w:val="center"/>
              <w:rPr>
                <w:rFonts w:cs="Arial"/>
                <w:color w:val="000000" w:themeColor="text1"/>
                <w:szCs w:val="20"/>
                <w:lang w:eastAsia="es-ES_tradnl"/>
              </w:rPr>
            </w:pPr>
            <w:r w:rsidRPr="00382A62">
              <w:rPr>
                <w:rFonts w:cs="Arial"/>
                <w:color w:val="000000" w:themeColor="text1"/>
                <w:szCs w:val="20"/>
                <w:lang w:eastAsia="es-ES_tradnl"/>
              </w:rPr>
              <w:t>914.25</w:t>
            </w:r>
          </w:p>
        </w:tc>
        <w:tc>
          <w:tcPr>
            <w:tcW w:w="2620" w:type="dxa"/>
            <w:shd w:val="clear" w:color="auto" w:fill="auto"/>
            <w:noWrap/>
            <w:tcMar>
              <w:top w:w="0" w:type="dxa"/>
              <w:left w:w="70" w:type="dxa"/>
              <w:bottom w:w="0" w:type="dxa"/>
              <w:right w:w="70" w:type="dxa"/>
            </w:tcMar>
            <w:vAlign w:val="center"/>
          </w:tcPr>
          <w:p w14:paraId="20FFE1E2" w14:textId="3C26B7C3" w:rsidR="007605E6" w:rsidRPr="00382A62" w:rsidRDefault="003E0B6B" w:rsidP="00973D33">
            <w:pPr>
              <w:spacing w:after="0" w:line="240" w:lineRule="auto"/>
              <w:jc w:val="center"/>
              <w:rPr>
                <w:rFonts w:eastAsia="Times New Roman" w:cs="Arial"/>
                <w:szCs w:val="20"/>
                <w:lang w:eastAsia="es-ES"/>
              </w:rPr>
            </w:pPr>
            <w:r w:rsidRPr="00382A62">
              <w:rPr>
                <w:rFonts w:eastAsia="Times New Roman" w:cs="Arial"/>
                <w:szCs w:val="20"/>
                <w:lang w:eastAsia="es-ES"/>
              </w:rPr>
              <w:t>59.00%</w:t>
            </w:r>
          </w:p>
        </w:tc>
      </w:tr>
      <w:tr w:rsidR="007605E6" w:rsidRPr="00382A62" w14:paraId="75926BF4" w14:textId="77777777" w:rsidTr="007D00B2">
        <w:trPr>
          <w:trHeight w:val="318"/>
          <w:jc w:val="center"/>
        </w:trPr>
        <w:tc>
          <w:tcPr>
            <w:tcW w:w="2547" w:type="dxa"/>
            <w:noWrap/>
            <w:tcMar>
              <w:top w:w="0" w:type="dxa"/>
              <w:left w:w="70" w:type="dxa"/>
              <w:bottom w:w="0" w:type="dxa"/>
              <w:right w:w="70" w:type="dxa"/>
            </w:tcMar>
            <w:vAlign w:val="center"/>
            <w:hideMark/>
          </w:tcPr>
          <w:p w14:paraId="17D45BB4" w14:textId="77777777" w:rsidR="007605E6" w:rsidRPr="00382A62" w:rsidRDefault="007605E6" w:rsidP="007D00B2">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4 – Uline</w:t>
            </w:r>
          </w:p>
        </w:tc>
        <w:tc>
          <w:tcPr>
            <w:tcW w:w="2620" w:type="dxa"/>
            <w:shd w:val="clear" w:color="auto" w:fill="auto"/>
            <w:noWrap/>
            <w:tcMar>
              <w:top w:w="0" w:type="dxa"/>
              <w:left w:w="70" w:type="dxa"/>
              <w:bottom w:w="0" w:type="dxa"/>
              <w:right w:w="70" w:type="dxa"/>
            </w:tcMar>
            <w:vAlign w:val="center"/>
          </w:tcPr>
          <w:p w14:paraId="48CED352" w14:textId="237B477B" w:rsidR="007605E6" w:rsidRPr="00382A62" w:rsidRDefault="000D11B9" w:rsidP="00973D33">
            <w:pPr>
              <w:spacing w:after="0" w:line="240" w:lineRule="auto"/>
              <w:jc w:val="center"/>
              <w:rPr>
                <w:rFonts w:cs="Arial"/>
                <w:color w:val="000000" w:themeColor="text1"/>
                <w:szCs w:val="20"/>
                <w:lang w:eastAsia="es-ES_tradnl"/>
              </w:rPr>
            </w:pPr>
            <w:r w:rsidRPr="00382A62">
              <w:rPr>
                <w:rFonts w:cs="Arial"/>
                <w:color w:val="000000" w:themeColor="text1"/>
                <w:szCs w:val="20"/>
                <w:lang w:eastAsia="es-ES_tradnl"/>
              </w:rPr>
              <w:t>321.97</w:t>
            </w:r>
          </w:p>
        </w:tc>
        <w:tc>
          <w:tcPr>
            <w:tcW w:w="2620" w:type="dxa"/>
            <w:shd w:val="clear" w:color="auto" w:fill="auto"/>
            <w:noWrap/>
            <w:tcMar>
              <w:top w:w="0" w:type="dxa"/>
              <w:left w:w="70" w:type="dxa"/>
              <w:bottom w:w="0" w:type="dxa"/>
              <w:right w:w="70" w:type="dxa"/>
            </w:tcMar>
            <w:vAlign w:val="center"/>
          </w:tcPr>
          <w:p w14:paraId="418DBCD7" w14:textId="7250DB4E" w:rsidR="007605E6" w:rsidRPr="00382A62" w:rsidRDefault="003E0B6B" w:rsidP="00973D33">
            <w:pPr>
              <w:spacing w:after="0" w:line="240" w:lineRule="auto"/>
              <w:jc w:val="center"/>
              <w:rPr>
                <w:rFonts w:eastAsia="Times New Roman" w:cs="Arial"/>
                <w:szCs w:val="20"/>
                <w:lang w:eastAsia="es-ES"/>
              </w:rPr>
            </w:pPr>
            <w:r w:rsidRPr="00382A62">
              <w:rPr>
                <w:rFonts w:eastAsia="Times New Roman" w:cs="Arial"/>
                <w:szCs w:val="20"/>
                <w:lang w:eastAsia="es-ES"/>
              </w:rPr>
              <w:t>75.60%</w:t>
            </w:r>
          </w:p>
        </w:tc>
      </w:tr>
      <w:tr w:rsidR="007605E6" w:rsidRPr="00382A62" w14:paraId="2DA31B2A" w14:textId="77777777" w:rsidTr="007D00B2">
        <w:trPr>
          <w:trHeight w:val="318"/>
          <w:jc w:val="center"/>
        </w:trPr>
        <w:tc>
          <w:tcPr>
            <w:tcW w:w="2547" w:type="dxa"/>
            <w:noWrap/>
            <w:tcMar>
              <w:top w:w="0" w:type="dxa"/>
              <w:left w:w="70" w:type="dxa"/>
              <w:bottom w:w="0" w:type="dxa"/>
              <w:right w:w="70" w:type="dxa"/>
            </w:tcMar>
            <w:vAlign w:val="center"/>
            <w:hideMark/>
          </w:tcPr>
          <w:p w14:paraId="0D446668" w14:textId="77777777" w:rsidR="007605E6" w:rsidRPr="00382A62" w:rsidRDefault="007605E6" w:rsidP="007D00B2">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5 – Polyline</w:t>
            </w:r>
          </w:p>
        </w:tc>
        <w:tc>
          <w:tcPr>
            <w:tcW w:w="2620" w:type="dxa"/>
            <w:shd w:val="clear" w:color="auto" w:fill="auto"/>
            <w:noWrap/>
            <w:tcMar>
              <w:top w:w="0" w:type="dxa"/>
              <w:left w:w="70" w:type="dxa"/>
              <w:bottom w:w="0" w:type="dxa"/>
              <w:right w:w="70" w:type="dxa"/>
            </w:tcMar>
            <w:vAlign w:val="center"/>
          </w:tcPr>
          <w:p w14:paraId="14195383" w14:textId="108A73C7" w:rsidR="007605E6" w:rsidRPr="00382A62" w:rsidRDefault="007B7F4F" w:rsidP="00973D33">
            <w:pPr>
              <w:spacing w:after="0" w:line="240" w:lineRule="auto"/>
              <w:jc w:val="center"/>
              <w:rPr>
                <w:rFonts w:cs="Arial"/>
                <w:color w:val="000000" w:themeColor="text1"/>
                <w:szCs w:val="20"/>
                <w:lang w:eastAsia="es-ES_tradnl"/>
              </w:rPr>
            </w:pPr>
            <w:r w:rsidRPr="00382A62">
              <w:rPr>
                <w:rFonts w:cs="Arial"/>
                <w:color w:val="000000" w:themeColor="text1"/>
                <w:szCs w:val="20"/>
              </w:rPr>
              <w:t>298.86</w:t>
            </w:r>
          </w:p>
        </w:tc>
        <w:tc>
          <w:tcPr>
            <w:tcW w:w="2620" w:type="dxa"/>
            <w:shd w:val="clear" w:color="auto" w:fill="auto"/>
            <w:noWrap/>
            <w:tcMar>
              <w:top w:w="0" w:type="dxa"/>
              <w:left w:w="70" w:type="dxa"/>
              <w:bottom w:w="0" w:type="dxa"/>
              <w:right w:w="70" w:type="dxa"/>
            </w:tcMar>
            <w:vAlign w:val="center"/>
          </w:tcPr>
          <w:p w14:paraId="2AA5971E" w14:textId="743F48D2" w:rsidR="007605E6" w:rsidRPr="00382A62" w:rsidRDefault="003E0B6B" w:rsidP="00973D33">
            <w:pPr>
              <w:spacing w:after="0" w:line="240" w:lineRule="auto"/>
              <w:jc w:val="center"/>
              <w:rPr>
                <w:rFonts w:eastAsia="Times New Roman" w:cs="Arial"/>
                <w:szCs w:val="20"/>
                <w:lang w:eastAsia="es-ES"/>
              </w:rPr>
            </w:pPr>
            <w:r w:rsidRPr="00382A62">
              <w:rPr>
                <w:rFonts w:eastAsia="Times New Roman" w:cs="Arial"/>
                <w:szCs w:val="20"/>
                <w:lang w:eastAsia="es-ES"/>
              </w:rPr>
              <w:t>56.00%</w:t>
            </w:r>
          </w:p>
        </w:tc>
      </w:tr>
      <w:tr w:rsidR="007605E6" w:rsidRPr="00382A62" w14:paraId="1C6EA5F8" w14:textId="77777777" w:rsidTr="007D00B2">
        <w:trPr>
          <w:trHeight w:val="318"/>
          <w:jc w:val="center"/>
        </w:trPr>
        <w:tc>
          <w:tcPr>
            <w:tcW w:w="2547" w:type="dxa"/>
            <w:noWrap/>
            <w:tcMar>
              <w:top w:w="0" w:type="dxa"/>
              <w:left w:w="70" w:type="dxa"/>
              <w:bottom w:w="0" w:type="dxa"/>
              <w:right w:w="70" w:type="dxa"/>
            </w:tcMar>
            <w:vAlign w:val="center"/>
            <w:hideMark/>
          </w:tcPr>
          <w:p w14:paraId="6555D5C0" w14:textId="77777777" w:rsidR="007605E6" w:rsidRPr="00382A62" w:rsidRDefault="007605E6" w:rsidP="007D00B2">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6 – Agriflex</w:t>
            </w:r>
          </w:p>
        </w:tc>
        <w:tc>
          <w:tcPr>
            <w:tcW w:w="2620" w:type="dxa"/>
            <w:shd w:val="clear" w:color="auto" w:fill="auto"/>
            <w:noWrap/>
            <w:tcMar>
              <w:top w:w="0" w:type="dxa"/>
              <w:left w:w="70" w:type="dxa"/>
              <w:bottom w:w="0" w:type="dxa"/>
              <w:right w:w="70" w:type="dxa"/>
            </w:tcMar>
            <w:vAlign w:val="center"/>
          </w:tcPr>
          <w:p w14:paraId="28F60922" w14:textId="565CBF24" w:rsidR="007605E6" w:rsidRPr="00382A62" w:rsidRDefault="007B7F4F" w:rsidP="00973D33">
            <w:pPr>
              <w:spacing w:after="0" w:line="240" w:lineRule="auto"/>
              <w:jc w:val="center"/>
              <w:rPr>
                <w:rFonts w:cs="Arial"/>
                <w:color w:val="000000" w:themeColor="text1"/>
                <w:szCs w:val="20"/>
                <w:lang w:eastAsia="es-ES_tradnl"/>
              </w:rPr>
            </w:pPr>
            <w:r w:rsidRPr="00382A62">
              <w:rPr>
                <w:rFonts w:cs="Arial"/>
                <w:color w:val="000000" w:themeColor="text1"/>
                <w:szCs w:val="20"/>
                <w:lang w:eastAsia="es-ES_tradnl"/>
              </w:rPr>
              <w:t>1480.45</w:t>
            </w:r>
          </w:p>
        </w:tc>
        <w:tc>
          <w:tcPr>
            <w:tcW w:w="2620" w:type="dxa"/>
            <w:shd w:val="clear" w:color="auto" w:fill="auto"/>
            <w:noWrap/>
            <w:tcMar>
              <w:top w:w="0" w:type="dxa"/>
              <w:left w:w="70" w:type="dxa"/>
              <w:bottom w:w="0" w:type="dxa"/>
              <w:right w:w="70" w:type="dxa"/>
            </w:tcMar>
            <w:vAlign w:val="center"/>
          </w:tcPr>
          <w:p w14:paraId="01C923CA" w14:textId="6C3B206F" w:rsidR="007605E6" w:rsidRPr="00382A62" w:rsidRDefault="003E0B6B" w:rsidP="00973D33">
            <w:pPr>
              <w:spacing w:after="0" w:line="240" w:lineRule="auto"/>
              <w:jc w:val="center"/>
              <w:rPr>
                <w:rFonts w:eastAsia="Times New Roman" w:cs="Arial"/>
                <w:szCs w:val="20"/>
                <w:lang w:eastAsia="es-ES"/>
              </w:rPr>
            </w:pPr>
            <w:r w:rsidRPr="00382A62">
              <w:rPr>
                <w:rFonts w:eastAsia="Times New Roman" w:cs="Arial"/>
                <w:szCs w:val="20"/>
                <w:lang w:eastAsia="es-ES"/>
              </w:rPr>
              <w:t>44.00%</w:t>
            </w:r>
          </w:p>
        </w:tc>
      </w:tr>
      <w:tr w:rsidR="007605E6" w:rsidRPr="00382A62" w14:paraId="3C755509" w14:textId="77777777" w:rsidTr="007D00B2">
        <w:trPr>
          <w:trHeight w:val="318"/>
          <w:jc w:val="center"/>
        </w:trPr>
        <w:tc>
          <w:tcPr>
            <w:tcW w:w="2547" w:type="dxa"/>
            <w:noWrap/>
            <w:tcMar>
              <w:top w:w="0" w:type="dxa"/>
              <w:left w:w="70" w:type="dxa"/>
              <w:bottom w:w="0" w:type="dxa"/>
              <w:right w:w="70" w:type="dxa"/>
            </w:tcMar>
            <w:vAlign w:val="center"/>
            <w:hideMark/>
          </w:tcPr>
          <w:p w14:paraId="5BE1EDAA" w14:textId="77777777" w:rsidR="007605E6" w:rsidRPr="00382A62" w:rsidRDefault="007605E6" w:rsidP="007D00B2">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7 – Cakeline</w:t>
            </w:r>
          </w:p>
        </w:tc>
        <w:tc>
          <w:tcPr>
            <w:tcW w:w="2620" w:type="dxa"/>
            <w:shd w:val="clear" w:color="auto" w:fill="auto"/>
            <w:noWrap/>
            <w:tcMar>
              <w:top w:w="0" w:type="dxa"/>
              <w:left w:w="70" w:type="dxa"/>
              <w:bottom w:w="0" w:type="dxa"/>
              <w:right w:w="70" w:type="dxa"/>
            </w:tcMar>
            <w:vAlign w:val="center"/>
          </w:tcPr>
          <w:p w14:paraId="05678A0C" w14:textId="3A977043" w:rsidR="007605E6" w:rsidRPr="00382A62" w:rsidRDefault="007B7F4F" w:rsidP="00973D33">
            <w:pPr>
              <w:spacing w:after="0" w:line="240" w:lineRule="auto"/>
              <w:jc w:val="center"/>
              <w:rPr>
                <w:rFonts w:cs="Arial"/>
                <w:color w:val="000000" w:themeColor="text1"/>
                <w:szCs w:val="20"/>
                <w:lang w:eastAsia="es-ES_tradnl"/>
              </w:rPr>
            </w:pPr>
            <w:r w:rsidRPr="00382A62">
              <w:rPr>
                <w:rFonts w:cs="Arial"/>
                <w:color w:val="000000" w:themeColor="text1"/>
                <w:szCs w:val="20"/>
              </w:rPr>
              <w:t>221.84</w:t>
            </w:r>
          </w:p>
        </w:tc>
        <w:tc>
          <w:tcPr>
            <w:tcW w:w="2620" w:type="dxa"/>
            <w:shd w:val="clear" w:color="auto" w:fill="auto"/>
            <w:noWrap/>
            <w:tcMar>
              <w:top w:w="0" w:type="dxa"/>
              <w:left w:w="70" w:type="dxa"/>
              <w:bottom w:w="0" w:type="dxa"/>
              <w:right w:w="70" w:type="dxa"/>
            </w:tcMar>
            <w:vAlign w:val="center"/>
          </w:tcPr>
          <w:p w14:paraId="7027A86D" w14:textId="520876A6" w:rsidR="007605E6" w:rsidRPr="00382A62" w:rsidRDefault="003E0B6B" w:rsidP="00973D33">
            <w:pPr>
              <w:spacing w:after="0" w:line="240" w:lineRule="auto"/>
              <w:jc w:val="center"/>
              <w:rPr>
                <w:rFonts w:eastAsia="Times New Roman" w:cs="Arial"/>
                <w:szCs w:val="20"/>
                <w:lang w:eastAsia="es-ES"/>
              </w:rPr>
            </w:pPr>
            <w:r w:rsidRPr="00382A62">
              <w:rPr>
                <w:rFonts w:eastAsia="Times New Roman" w:cs="Arial"/>
                <w:szCs w:val="20"/>
                <w:lang w:eastAsia="es-ES"/>
              </w:rPr>
              <w:t>66.00%</w:t>
            </w:r>
          </w:p>
        </w:tc>
      </w:tr>
      <w:tr w:rsidR="007605E6" w:rsidRPr="00382A62" w14:paraId="0C1F500A" w14:textId="77777777" w:rsidTr="007D00B2">
        <w:trPr>
          <w:trHeight w:val="318"/>
          <w:jc w:val="center"/>
        </w:trPr>
        <w:tc>
          <w:tcPr>
            <w:tcW w:w="2547" w:type="dxa"/>
            <w:noWrap/>
            <w:tcMar>
              <w:top w:w="0" w:type="dxa"/>
              <w:left w:w="70" w:type="dxa"/>
              <w:bottom w:w="0" w:type="dxa"/>
              <w:right w:w="70" w:type="dxa"/>
            </w:tcMar>
            <w:vAlign w:val="center"/>
            <w:hideMark/>
          </w:tcPr>
          <w:p w14:paraId="7C4C026C" w14:textId="77777777" w:rsidR="007605E6" w:rsidRPr="00382A62" w:rsidRDefault="007605E6" w:rsidP="007D00B2">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8 – Batidos</w:t>
            </w:r>
          </w:p>
        </w:tc>
        <w:tc>
          <w:tcPr>
            <w:tcW w:w="2620" w:type="dxa"/>
            <w:shd w:val="clear" w:color="auto" w:fill="auto"/>
            <w:noWrap/>
            <w:tcMar>
              <w:top w:w="0" w:type="dxa"/>
              <w:left w:w="70" w:type="dxa"/>
              <w:bottom w:w="0" w:type="dxa"/>
              <w:right w:w="70" w:type="dxa"/>
            </w:tcMar>
            <w:vAlign w:val="center"/>
          </w:tcPr>
          <w:p w14:paraId="0B05E65E" w14:textId="615C1EA6" w:rsidR="007605E6" w:rsidRPr="00382A62" w:rsidRDefault="007B7F4F" w:rsidP="00973D33">
            <w:pPr>
              <w:spacing w:after="0" w:line="240" w:lineRule="auto"/>
              <w:jc w:val="center"/>
              <w:rPr>
                <w:rFonts w:cs="Arial"/>
                <w:color w:val="000000" w:themeColor="text1"/>
                <w:szCs w:val="20"/>
                <w:lang w:eastAsia="es-ES_tradnl"/>
              </w:rPr>
            </w:pPr>
            <w:r w:rsidRPr="00382A62">
              <w:rPr>
                <w:rFonts w:cs="Arial"/>
                <w:color w:val="000000" w:themeColor="text1"/>
                <w:szCs w:val="20"/>
              </w:rPr>
              <w:t>231.23</w:t>
            </w:r>
          </w:p>
        </w:tc>
        <w:tc>
          <w:tcPr>
            <w:tcW w:w="2620" w:type="dxa"/>
            <w:shd w:val="clear" w:color="auto" w:fill="auto"/>
            <w:noWrap/>
            <w:tcMar>
              <w:top w:w="0" w:type="dxa"/>
              <w:left w:w="70" w:type="dxa"/>
              <w:bottom w:w="0" w:type="dxa"/>
              <w:right w:w="70" w:type="dxa"/>
            </w:tcMar>
            <w:vAlign w:val="center"/>
          </w:tcPr>
          <w:p w14:paraId="7C6364CF" w14:textId="5A892BBE" w:rsidR="007605E6" w:rsidRPr="00382A62" w:rsidRDefault="00973D33" w:rsidP="00973D33">
            <w:pPr>
              <w:spacing w:after="0" w:line="240" w:lineRule="auto"/>
              <w:jc w:val="center"/>
              <w:rPr>
                <w:rFonts w:eastAsia="Times New Roman" w:cs="Arial"/>
                <w:szCs w:val="20"/>
                <w:lang w:eastAsia="es-ES"/>
              </w:rPr>
            </w:pPr>
            <w:r w:rsidRPr="00382A62">
              <w:rPr>
                <w:rFonts w:eastAsia="Times New Roman" w:cs="Arial"/>
                <w:szCs w:val="20"/>
                <w:lang w:eastAsia="es-ES"/>
              </w:rPr>
              <w:t>63.00%</w:t>
            </w:r>
          </w:p>
        </w:tc>
      </w:tr>
      <w:tr w:rsidR="007605E6" w:rsidRPr="00382A62" w14:paraId="75543411" w14:textId="77777777" w:rsidTr="007D00B2">
        <w:trPr>
          <w:trHeight w:val="318"/>
          <w:jc w:val="center"/>
        </w:trPr>
        <w:tc>
          <w:tcPr>
            <w:tcW w:w="2547" w:type="dxa"/>
            <w:noWrap/>
            <w:tcMar>
              <w:top w:w="0" w:type="dxa"/>
              <w:left w:w="70" w:type="dxa"/>
              <w:bottom w:w="0" w:type="dxa"/>
              <w:right w:w="70" w:type="dxa"/>
            </w:tcMar>
            <w:vAlign w:val="center"/>
            <w:hideMark/>
          </w:tcPr>
          <w:p w14:paraId="284E4668" w14:textId="77777777" w:rsidR="007605E6" w:rsidRPr="00382A62" w:rsidRDefault="007605E6" w:rsidP="007D00B2">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9 – Galletas</w:t>
            </w:r>
          </w:p>
        </w:tc>
        <w:tc>
          <w:tcPr>
            <w:tcW w:w="2620" w:type="dxa"/>
            <w:shd w:val="clear" w:color="auto" w:fill="auto"/>
            <w:noWrap/>
            <w:tcMar>
              <w:top w:w="0" w:type="dxa"/>
              <w:left w:w="70" w:type="dxa"/>
              <w:bottom w:w="0" w:type="dxa"/>
              <w:right w:w="70" w:type="dxa"/>
            </w:tcMar>
            <w:vAlign w:val="center"/>
          </w:tcPr>
          <w:p w14:paraId="5DEFD527" w14:textId="08BCDA14" w:rsidR="007605E6" w:rsidRPr="00382A62" w:rsidRDefault="007B7F4F" w:rsidP="00973D33">
            <w:pPr>
              <w:spacing w:after="0" w:line="240" w:lineRule="auto"/>
              <w:jc w:val="center"/>
              <w:rPr>
                <w:rFonts w:cs="Arial"/>
                <w:color w:val="000000" w:themeColor="text1"/>
                <w:szCs w:val="20"/>
                <w:lang w:eastAsia="es-ES_tradnl"/>
              </w:rPr>
            </w:pPr>
            <w:r w:rsidRPr="00382A62">
              <w:rPr>
                <w:rFonts w:cs="Arial"/>
                <w:color w:val="000000" w:themeColor="text1"/>
                <w:szCs w:val="20"/>
              </w:rPr>
              <w:t>111.92</w:t>
            </w:r>
          </w:p>
        </w:tc>
        <w:tc>
          <w:tcPr>
            <w:tcW w:w="2620" w:type="dxa"/>
            <w:shd w:val="clear" w:color="auto" w:fill="auto"/>
            <w:noWrap/>
            <w:tcMar>
              <w:top w:w="0" w:type="dxa"/>
              <w:left w:w="70" w:type="dxa"/>
              <w:bottom w:w="0" w:type="dxa"/>
              <w:right w:w="70" w:type="dxa"/>
            </w:tcMar>
            <w:vAlign w:val="center"/>
          </w:tcPr>
          <w:p w14:paraId="54D11D0C" w14:textId="65729E29" w:rsidR="007605E6" w:rsidRPr="00382A62" w:rsidRDefault="00973D33" w:rsidP="00973D33">
            <w:pPr>
              <w:spacing w:after="0" w:line="240" w:lineRule="auto"/>
              <w:jc w:val="center"/>
              <w:rPr>
                <w:rFonts w:eastAsia="Times New Roman" w:cs="Arial"/>
                <w:szCs w:val="20"/>
                <w:lang w:eastAsia="es-ES"/>
              </w:rPr>
            </w:pPr>
            <w:r w:rsidRPr="00382A62">
              <w:rPr>
                <w:rFonts w:eastAsia="Times New Roman" w:cs="Arial"/>
                <w:szCs w:val="20"/>
                <w:lang w:eastAsia="es-ES"/>
              </w:rPr>
              <w:t>57.00%</w:t>
            </w:r>
          </w:p>
        </w:tc>
      </w:tr>
      <w:tr w:rsidR="007605E6" w:rsidRPr="00382A62" w14:paraId="2E097536" w14:textId="77777777" w:rsidTr="007D00B2">
        <w:trPr>
          <w:trHeight w:val="318"/>
          <w:jc w:val="center"/>
        </w:trPr>
        <w:tc>
          <w:tcPr>
            <w:tcW w:w="2547" w:type="dxa"/>
            <w:noWrap/>
            <w:tcMar>
              <w:top w:w="0" w:type="dxa"/>
              <w:left w:w="70" w:type="dxa"/>
              <w:bottom w:w="0" w:type="dxa"/>
              <w:right w:w="70" w:type="dxa"/>
            </w:tcMar>
            <w:vAlign w:val="center"/>
            <w:hideMark/>
          </w:tcPr>
          <w:p w14:paraId="3A5E60CB" w14:textId="77777777" w:rsidR="007605E6" w:rsidRPr="00382A62" w:rsidRDefault="007605E6" w:rsidP="007D00B2">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11 – Bollería</w:t>
            </w:r>
          </w:p>
        </w:tc>
        <w:tc>
          <w:tcPr>
            <w:tcW w:w="2620" w:type="dxa"/>
            <w:shd w:val="clear" w:color="auto" w:fill="auto"/>
            <w:noWrap/>
            <w:tcMar>
              <w:top w:w="0" w:type="dxa"/>
              <w:left w:w="70" w:type="dxa"/>
              <w:bottom w:w="0" w:type="dxa"/>
              <w:right w:w="70" w:type="dxa"/>
            </w:tcMar>
            <w:vAlign w:val="center"/>
          </w:tcPr>
          <w:p w14:paraId="51B425E2" w14:textId="7EE75F11" w:rsidR="007605E6" w:rsidRPr="00382A62" w:rsidRDefault="007B7F4F" w:rsidP="00973D33">
            <w:pPr>
              <w:spacing w:after="0" w:line="240" w:lineRule="auto"/>
              <w:jc w:val="center"/>
              <w:rPr>
                <w:rFonts w:cs="Arial"/>
                <w:color w:val="000000" w:themeColor="text1"/>
                <w:szCs w:val="20"/>
                <w:lang w:eastAsia="es-ES_tradnl"/>
              </w:rPr>
            </w:pPr>
            <w:r w:rsidRPr="00382A62">
              <w:rPr>
                <w:rFonts w:cs="Arial"/>
                <w:color w:val="000000" w:themeColor="text1"/>
                <w:szCs w:val="20"/>
              </w:rPr>
              <w:t>483.69</w:t>
            </w:r>
          </w:p>
        </w:tc>
        <w:tc>
          <w:tcPr>
            <w:tcW w:w="2620" w:type="dxa"/>
            <w:shd w:val="clear" w:color="auto" w:fill="auto"/>
            <w:noWrap/>
            <w:tcMar>
              <w:top w:w="0" w:type="dxa"/>
              <w:left w:w="70" w:type="dxa"/>
              <w:bottom w:w="0" w:type="dxa"/>
              <w:right w:w="70" w:type="dxa"/>
            </w:tcMar>
            <w:vAlign w:val="center"/>
          </w:tcPr>
          <w:p w14:paraId="071E3CA7" w14:textId="54F4EFBE" w:rsidR="007605E6" w:rsidRPr="00382A62" w:rsidRDefault="00973D33" w:rsidP="00973D33">
            <w:pPr>
              <w:spacing w:after="0" w:line="240" w:lineRule="auto"/>
              <w:jc w:val="center"/>
              <w:rPr>
                <w:rFonts w:eastAsia="Times New Roman" w:cs="Arial"/>
                <w:szCs w:val="20"/>
                <w:lang w:eastAsia="es-ES"/>
              </w:rPr>
            </w:pPr>
            <w:r w:rsidRPr="00382A62">
              <w:rPr>
                <w:rFonts w:eastAsia="Times New Roman" w:cs="Arial"/>
                <w:szCs w:val="20"/>
                <w:lang w:eastAsia="es-ES"/>
              </w:rPr>
              <w:t>61.00%</w:t>
            </w:r>
          </w:p>
        </w:tc>
      </w:tr>
      <w:bookmarkEnd w:id="149"/>
    </w:tbl>
    <w:p w14:paraId="3BE26857" w14:textId="77777777" w:rsidR="007605E6" w:rsidRPr="00382A62" w:rsidRDefault="007605E6" w:rsidP="007605E6">
      <w:pPr>
        <w:rPr>
          <w:rFonts w:cs="Arial"/>
          <w:b/>
          <w:bCs/>
          <w:szCs w:val="20"/>
        </w:rPr>
      </w:pPr>
    </w:p>
    <w:p w14:paraId="77C9B5A2" w14:textId="65B3B6B8" w:rsidR="007605E6" w:rsidRDefault="007605E6" w:rsidP="007605E6">
      <w:pPr>
        <w:rPr>
          <w:rFonts w:cs="Arial"/>
          <w:szCs w:val="20"/>
        </w:rPr>
      </w:pPr>
      <w:r w:rsidRPr="00382A62">
        <w:rPr>
          <w:rFonts w:cs="Arial"/>
          <w:b/>
          <w:bCs/>
          <w:szCs w:val="20"/>
        </w:rPr>
        <w:t>Plantas de producción #5:</w:t>
      </w:r>
      <w:r w:rsidRPr="00382A62">
        <w:rPr>
          <w:rFonts w:cs="Arial"/>
          <w:szCs w:val="20"/>
        </w:rPr>
        <w:t xml:space="preserve"> North American Breweries Holding LLC y sus subsidiarias (FIFCO USA) tiene su sede en Rochester</w:t>
      </w:r>
      <w:r w:rsidR="00BA4858" w:rsidRPr="00382A62">
        <w:rPr>
          <w:rFonts w:cs="Arial"/>
          <w:szCs w:val="20"/>
        </w:rPr>
        <w:t>,</w:t>
      </w:r>
      <w:r w:rsidRPr="00382A62">
        <w:rPr>
          <w:rFonts w:cs="Arial"/>
          <w:szCs w:val="20"/>
        </w:rPr>
        <w:t xml:space="preserve"> Nueva York y cuenta con</w:t>
      </w:r>
      <w:r w:rsidR="00306F63" w:rsidRPr="00382A62">
        <w:rPr>
          <w:rFonts w:cs="Arial"/>
          <w:szCs w:val="20"/>
        </w:rPr>
        <w:t xml:space="preserve"> una fá</w:t>
      </w:r>
      <w:r w:rsidRPr="00382A62">
        <w:rPr>
          <w:rFonts w:cs="Arial"/>
          <w:szCs w:val="20"/>
        </w:rPr>
        <w:t xml:space="preserve">brica de cerveza ubicada en </w:t>
      </w:r>
      <w:r w:rsidR="00306F63" w:rsidRPr="00382A62">
        <w:rPr>
          <w:rFonts w:cs="Arial"/>
          <w:szCs w:val="20"/>
        </w:rPr>
        <w:t>el</w:t>
      </w:r>
      <w:r w:rsidRPr="00382A62">
        <w:rPr>
          <w:rFonts w:cs="Arial"/>
          <w:szCs w:val="20"/>
        </w:rPr>
        <w:t xml:space="preserve"> estado de Nueva York. La capacidad instalada de esta planta es la siguiente:</w:t>
      </w:r>
    </w:p>
    <w:p w14:paraId="1049F480" w14:textId="67E5F41D" w:rsidR="007605E6" w:rsidRPr="0036462F" w:rsidRDefault="007605E6" w:rsidP="007605E6">
      <w:pPr>
        <w:pStyle w:val="Descripcin"/>
        <w:rPr>
          <w:rFonts w:cs="Arial"/>
          <w:szCs w:val="20"/>
        </w:rPr>
      </w:pPr>
      <w:bookmarkStart w:id="150" w:name="_Toc169624732"/>
      <w:r w:rsidRPr="0036462F">
        <w:rPr>
          <w:rFonts w:cs="Arial"/>
          <w:szCs w:val="20"/>
        </w:rPr>
        <w:t xml:space="preserve">Tabla </w:t>
      </w:r>
      <w:r w:rsidR="00423C23" w:rsidRPr="0036462F">
        <w:rPr>
          <w:rFonts w:cs="Arial"/>
          <w:szCs w:val="20"/>
        </w:rPr>
        <w:fldChar w:fldCharType="begin"/>
      </w:r>
      <w:r w:rsidR="00423C23" w:rsidRPr="0036462F">
        <w:rPr>
          <w:rFonts w:cs="Arial"/>
          <w:szCs w:val="20"/>
        </w:rPr>
        <w:instrText xml:space="preserve"> SEQ Tabla \* ARABIC </w:instrText>
      </w:r>
      <w:r w:rsidR="00423C23" w:rsidRPr="0036462F">
        <w:rPr>
          <w:rFonts w:cs="Arial"/>
          <w:szCs w:val="20"/>
        </w:rPr>
        <w:fldChar w:fldCharType="separate"/>
      </w:r>
      <w:r w:rsidR="00915ACD" w:rsidRPr="0036462F">
        <w:rPr>
          <w:rFonts w:cs="Arial"/>
          <w:noProof/>
          <w:szCs w:val="20"/>
        </w:rPr>
        <w:t>36</w:t>
      </w:r>
      <w:r w:rsidR="00423C23" w:rsidRPr="0036462F">
        <w:rPr>
          <w:rFonts w:cs="Arial"/>
          <w:noProof/>
          <w:szCs w:val="20"/>
        </w:rPr>
        <w:fldChar w:fldCharType="end"/>
      </w:r>
      <w:r w:rsidRPr="0036462F">
        <w:rPr>
          <w:rFonts w:cs="Arial"/>
          <w:szCs w:val="20"/>
        </w:rPr>
        <w:t xml:space="preserve"> - Capacidad Instalada de Planta de Producción #5.</w:t>
      </w:r>
      <w:bookmarkEnd w:id="150"/>
    </w:p>
    <w:tbl>
      <w:tblPr>
        <w:tblW w:w="935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830"/>
        <w:gridCol w:w="3260"/>
        <w:gridCol w:w="3261"/>
      </w:tblGrid>
      <w:tr w:rsidR="007605E6" w:rsidRPr="0036462F" w14:paraId="535F9F9C" w14:textId="77777777" w:rsidTr="007D00B2">
        <w:trPr>
          <w:trHeight w:val="369"/>
          <w:jc w:val="center"/>
        </w:trPr>
        <w:tc>
          <w:tcPr>
            <w:tcW w:w="2830" w:type="dxa"/>
            <w:shd w:val="clear" w:color="auto" w:fill="F2F2F2" w:themeFill="background1" w:themeFillShade="F2"/>
            <w:noWrap/>
            <w:vAlign w:val="center"/>
            <w:hideMark/>
          </w:tcPr>
          <w:p w14:paraId="003594AA" w14:textId="77777777" w:rsidR="007605E6" w:rsidRPr="0036462F" w:rsidRDefault="007605E6" w:rsidP="007D00B2">
            <w:pPr>
              <w:spacing w:line="276" w:lineRule="auto"/>
              <w:contextualSpacing/>
              <w:jc w:val="center"/>
              <w:rPr>
                <w:rFonts w:cs="Arial"/>
                <w:b/>
                <w:bCs/>
                <w:szCs w:val="20"/>
              </w:rPr>
            </w:pPr>
            <w:r w:rsidRPr="0036462F">
              <w:rPr>
                <w:rFonts w:cs="Arial"/>
                <w:b/>
                <w:bCs/>
                <w:szCs w:val="20"/>
              </w:rPr>
              <w:t>Línea</w:t>
            </w:r>
          </w:p>
        </w:tc>
        <w:tc>
          <w:tcPr>
            <w:tcW w:w="3260" w:type="dxa"/>
            <w:shd w:val="clear" w:color="auto" w:fill="F2F2F2" w:themeFill="background1" w:themeFillShade="F2"/>
            <w:vAlign w:val="center"/>
            <w:hideMark/>
          </w:tcPr>
          <w:p w14:paraId="22950025" w14:textId="77777777" w:rsidR="007605E6" w:rsidRPr="0036462F" w:rsidRDefault="007605E6" w:rsidP="007D00B2">
            <w:pPr>
              <w:spacing w:line="276" w:lineRule="auto"/>
              <w:contextualSpacing/>
              <w:jc w:val="center"/>
              <w:rPr>
                <w:rFonts w:cs="Arial"/>
                <w:b/>
                <w:bCs/>
                <w:szCs w:val="20"/>
              </w:rPr>
            </w:pPr>
            <w:r w:rsidRPr="0036462F">
              <w:rPr>
                <w:rFonts w:cs="Arial"/>
                <w:b/>
                <w:bCs/>
                <w:szCs w:val="20"/>
              </w:rPr>
              <w:t>Capacidad instalada (Barril / Año)</w:t>
            </w:r>
          </w:p>
        </w:tc>
        <w:tc>
          <w:tcPr>
            <w:tcW w:w="3261" w:type="dxa"/>
            <w:shd w:val="clear" w:color="auto" w:fill="F2F2F2" w:themeFill="background1" w:themeFillShade="F2"/>
            <w:vAlign w:val="center"/>
            <w:hideMark/>
          </w:tcPr>
          <w:p w14:paraId="493362BC" w14:textId="48E9F96E" w:rsidR="007605E6" w:rsidRPr="0036462F" w:rsidRDefault="007605E6" w:rsidP="007D00B2">
            <w:pPr>
              <w:spacing w:line="276" w:lineRule="auto"/>
              <w:contextualSpacing/>
              <w:jc w:val="center"/>
              <w:rPr>
                <w:rFonts w:cs="Arial"/>
                <w:b/>
                <w:szCs w:val="20"/>
              </w:rPr>
            </w:pPr>
            <w:r w:rsidRPr="0036462F">
              <w:rPr>
                <w:rFonts w:cs="Arial"/>
                <w:b/>
                <w:szCs w:val="20"/>
              </w:rPr>
              <w:t xml:space="preserve">% de Utilización </w:t>
            </w:r>
            <w:r w:rsidRPr="0036462F">
              <w:rPr>
                <w:rFonts w:cs="Arial"/>
                <w:b/>
                <w:bCs/>
                <w:szCs w:val="20"/>
              </w:rPr>
              <w:t>202</w:t>
            </w:r>
            <w:r w:rsidR="00CF5A51">
              <w:rPr>
                <w:rFonts w:cs="Arial"/>
                <w:b/>
                <w:bCs/>
                <w:szCs w:val="20"/>
              </w:rPr>
              <w:t>3</w:t>
            </w:r>
          </w:p>
        </w:tc>
      </w:tr>
      <w:tr w:rsidR="007605E6" w:rsidRPr="0036462F" w14:paraId="5A4E3CB0" w14:textId="77777777" w:rsidTr="007D00B2">
        <w:trPr>
          <w:trHeight w:val="340"/>
          <w:jc w:val="center"/>
        </w:trPr>
        <w:tc>
          <w:tcPr>
            <w:tcW w:w="2830" w:type="dxa"/>
            <w:shd w:val="clear" w:color="auto" w:fill="F2F2F2" w:themeFill="background1" w:themeFillShade="F2"/>
            <w:noWrap/>
            <w:vAlign w:val="center"/>
            <w:hideMark/>
          </w:tcPr>
          <w:p w14:paraId="167B114B" w14:textId="77777777" w:rsidR="007605E6" w:rsidRPr="0036462F" w:rsidRDefault="007605E6" w:rsidP="007D00B2">
            <w:pPr>
              <w:spacing w:line="276" w:lineRule="auto"/>
              <w:contextualSpacing/>
              <w:rPr>
                <w:rFonts w:cs="Arial"/>
                <w:b/>
                <w:bCs/>
                <w:szCs w:val="20"/>
              </w:rPr>
            </w:pPr>
            <w:r w:rsidRPr="0036462F">
              <w:rPr>
                <w:rFonts w:cs="Arial"/>
                <w:b/>
                <w:bCs/>
                <w:szCs w:val="20"/>
              </w:rPr>
              <w:t>Planta Rochester- Nueva York</w:t>
            </w:r>
          </w:p>
        </w:tc>
        <w:tc>
          <w:tcPr>
            <w:tcW w:w="3260" w:type="dxa"/>
            <w:shd w:val="clear" w:color="auto" w:fill="F2F2F2" w:themeFill="background1" w:themeFillShade="F2"/>
            <w:vAlign w:val="center"/>
            <w:hideMark/>
          </w:tcPr>
          <w:p w14:paraId="0A533A20" w14:textId="77777777" w:rsidR="007605E6" w:rsidRPr="0036462F" w:rsidRDefault="007605E6" w:rsidP="007D00B2">
            <w:pPr>
              <w:spacing w:line="276" w:lineRule="auto"/>
              <w:contextualSpacing/>
              <w:jc w:val="center"/>
              <w:rPr>
                <w:rFonts w:cs="Arial"/>
                <w:b/>
                <w:bCs/>
                <w:szCs w:val="20"/>
              </w:rPr>
            </w:pPr>
          </w:p>
        </w:tc>
        <w:tc>
          <w:tcPr>
            <w:tcW w:w="3261" w:type="dxa"/>
            <w:shd w:val="clear" w:color="auto" w:fill="F2F2F2" w:themeFill="background1" w:themeFillShade="F2"/>
            <w:vAlign w:val="center"/>
            <w:hideMark/>
          </w:tcPr>
          <w:p w14:paraId="35E982DE" w14:textId="77777777" w:rsidR="007605E6" w:rsidRPr="0036462F" w:rsidRDefault="007605E6" w:rsidP="007D00B2">
            <w:pPr>
              <w:spacing w:line="276" w:lineRule="auto"/>
              <w:contextualSpacing/>
              <w:jc w:val="center"/>
              <w:rPr>
                <w:rFonts w:cs="Arial"/>
                <w:b/>
                <w:bCs/>
                <w:szCs w:val="20"/>
              </w:rPr>
            </w:pPr>
          </w:p>
        </w:tc>
      </w:tr>
      <w:tr w:rsidR="007605E6" w:rsidRPr="0036462F" w14:paraId="4AECB9DA" w14:textId="77777777" w:rsidTr="007D00B2">
        <w:trPr>
          <w:trHeight w:val="340"/>
          <w:jc w:val="center"/>
        </w:trPr>
        <w:tc>
          <w:tcPr>
            <w:tcW w:w="2830" w:type="dxa"/>
            <w:shd w:val="clear" w:color="auto" w:fill="auto"/>
            <w:noWrap/>
            <w:vAlign w:val="bottom"/>
            <w:hideMark/>
          </w:tcPr>
          <w:p w14:paraId="067B1511" w14:textId="77777777" w:rsidR="007605E6" w:rsidRPr="0036462F" w:rsidRDefault="007605E6" w:rsidP="007D00B2">
            <w:pPr>
              <w:spacing w:line="276" w:lineRule="auto"/>
              <w:contextualSpacing/>
              <w:rPr>
                <w:rFonts w:cs="Arial"/>
                <w:szCs w:val="20"/>
              </w:rPr>
            </w:pPr>
            <w:r w:rsidRPr="0036462F">
              <w:rPr>
                <w:rFonts w:cs="Arial"/>
                <w:szCs w:val="20"/>
              </w:rPr>
              <w:t>Línea 1 Latas 24 oz</w:t>
            </w:r>
          </w:p>
        </w:tc>
        <w:tc>
          <w:tcPr>
            <w:tcW w:w="3260" w:type="dxa"/>
            <w:shd w:val="clear" w:color="auto" w:fill="auto"/>
            <w:noWrap/>
            <w:vAlign w:val="center"/>
          </w:tcPr>
          <w:p w14:paraId="3AE3DA95" w14:textId="26208DB3" w:rsidR="007605E6" w:rsidRPr="0036462F" w:rsidRDefault="006E6512" w:rsidP="007D00B2">
            <w:pPr>
              <w:spacing w:line="276" w:lineRule="auto"/>
              <w:contextualSpacing/>
              <w:jc w:val="center"/>
              <w:rPr>
                <w:rFonts w:cs="Arial"/>
                <w:szCs w:val="20"/>
              </w:rPr>
            </w:pPr>
            <w:r w:rsidRPr="0036462F">
              <w:rPr>
                <w:rFonts w:cs="Arial"/>
                <w:szCs w:val="20"/>
              </w:rPr>
              <w:t>559</w:t>
            </w:r>
            <w:r w:rsidR="00EE4D2D" w:rsidRPr="0036462F">
              <w:rPr>
                <w:rFonts w:cs="Arial"/>
                <w:szCs w:val="20"/>
              </w:rPr>
              <w:t>.440</w:t>
            </w:r>
          </w:p>
        </w:tc>
        <w:tc>
          <w:tcPr>
            <w:tcW w:w="3261" w:type="dxa"/>
            <w:shd w:val="clear" w:color="auto" w:fill="auto"/>
            <w:noWrap/>
            <w:vAlign w:val="center"/>
          </w:tcPr>
          <w:p w14:paraId="524562D0" w14:textId="02CC1138" w:rsidR="007605E6" w:rsidRPr="0036462F" w:rsidRDefault="00113B13" w:rsidP="007D00B2">
            <w:pPr>
              <w:spacing w:line="276" w:lineRule="auto"/>
              <w:contextualSpacing/>
              <w:jc w:val="center"/>
              <w:rPr>
                <w:rFonts w:cs="Arial"/>
                <w:szCs w:val="20"/>
              </w:rPr>
            </w:pPr>
            <w:r w:rsidRPr="0036462F">
              <w:rPr>
                <w:rFonts w:cs="Arial"/>
                <w:szCs w:val="20"/>
              </w:rPr>
              <w:t>49%</w:t>
            </w:r>
          </w:p>
        </w:tc>
      </w:tr>
      <w:tr w:rsidR="007605E6" w:rsidRPr="0036462F" w14:paraId="6BD39BC8" w14:textId="77777777" w:rsidTr="007D00B2">
        <w:trPr>
          <w:trHeight w:val="340"/>
          <w:jc w:val="center"/>
        </w:trPr>
        <w:tc>
          <w:tcPr>
            <w:tcW w:w="2830" w:type="dxa"/>
            <w:shd w:val="clear" w:color="auto" w:fill="auto"/>
            <w:noWrap/>
            <w:vAlign w:val="bottom"/>
            <w:hideMark/>
          </w:tcPr>
          <w:p w14:paraId="76A2B66F" w14:textId="77777777" w:rsidR="007605E6" w:rsidRPr="0036462F" w:rsidRDefault="007605E6" w:rsidP="007D00B2">
            <w:pPr>
              <w:spacing w:line="276" w:lineRule="auto"/>
              <w:contextualSpacing/>
              <w:rPr>
                <w:rFonts w:cs="Arial"/>
                <w:szCs w:val="20"/>
              </w:rPr>
            </w:pPr>
            <w:r w:rsidRPr="0036462F">
              <w:rPr>
                <w:rFonts w:cs="Arial"/>
                <w:szCs w:val="20"/>
              </w:rPr>
              <w:t>Línea 2 Botellas</w:t>
            </w:r>
          </w:p>
        </w:tc>
        <w:tc>
          <w:tcPr>
            <w:tcW w:w="3260" w:type="dxa"/>
            <w:shd w:val="clear" w:color="auto" w:fill="auto"/>
            <w:noWrap/>
            <w:vAlign w:val="center"/>
          </w:tcPr>
          <w:p w14:paraId="5B3DC326" w14:textId="1EB944EE" w:rsidR="007605E6" w:rsidRPr="0036462F" w:rsidRDefault="00EE4D2D" w:rsidP="007D00B2">
            <w:pPr>
              <w:spacing w:line="276" w:lineRule="auto"/>
              <w:contextualSpacing/>
              <w:jc w:val="center"/>
              <w:rPr>
                <w:rFonts w:cs="Arial"/>
                <w:szCs w:val="20"/>
              </w:rPr>
            </w:pPr>
            <w:r w:rsidRPr="0036462F">
              <w:rPr>
                <w:rFonts w:cs="Arial"/>
                <w:szCs w:val="20"/>
              </w:rPr>
              <w:t>419</w:t>
            </w:r>
            <w:r w:rsidR="00AD1617">
              <w:rPr>
                <w:rFonts w:cs="Arial"/>
                <w:szCs w:val="20"/>
              </w:rPr>
              <w:t>.</w:t>
            </w:r>
            <w:r w:rsidRPr="0036462F">
              <w:rPr>
                <w:rFonts w:cs="Arial"/>
                <w:szCs w:val="20"/>
              </w:rPr>
              <w:t>760</w:t>
            </w:r>
          </w:p>
        </w:tc>
        <w:tc>
          <w:tcPr>
            <w:tcW w:w="3261" w:type="dxa"/>
            <w:shd w:val="clear" w:color="auto" w:fill="auto"/>
            <w:noWrap/>
            <w:vAlign w:val="center"/>
          </w:tcPr>
          <w:p w14:paraId="6B746856" w14:textId="69BD45A4" w:rsidR="007605E6" w:rsidRPr="0036462F" w:rsidRDefault="007605E6" w:rsidP="007D00B2">
            <w:pPr>
              <w:spacing w:line="276" w:lineRule="auto"/>
              <w:contextualSpacing/>
              <w:jc w:val="center"/>
              <w:rPr>
                <w:rFonts w:cs="Arial"/>
                <w:szCs w:val="20"/>
              </w:rPr>
            </w:pPr>
            <w:r w:rsidRPr="0036462F">
              <w:rPr>
                <w:rFonts w:cs="Arial"/>
                <w:szCs w:val="20"/>
              </w:rPr>
              <w:t>5%</w:t>
            </w:r>
          </w:p>
        </w:tc>
      </w:tr>
      <w:tr w:rsidR="007605E6" w:rsidRPr="0036462F" w14:paraId="34ED5AF2" w14:textId="77777777" w:rsidTr="007D00B2">
        <w:trPr>
          <w:trHeight w:val="340"/>
          <w:jc w:val="center"/>
        </w:trPr>
        <w:tc>
          <w:tcPr>
            <w:tcW w:w="2830" w:type="dxa"/>
            <w:shd w:val="clear" w:color="auto" w:fill="auto"/>
            <w:noWrap/>
            <w:vAlign w:val="bottom"/>
            <w:hideMark/>
          </w:tcPr>
          <w:p w14:paraId="300C4144" w14:textId="77777777" w:rsidR="007605E6" w:rsidRPr="0036462F" w:rsidRDefault="007605E6" w:rsidP="007D00B2">
            <w:pPr>
              <w:spacing w:line="276" w:lineRule="auto"/>
              <w:contextualSpacing/>
              <w:rPr>
                <w:rFonts w:cs="Arial"/>
                <w:szCs w:val="20"/>
              </w:rPr>
            </w:pPr>
            <w:r w:rsidRPr="0036462F">
              <w:rPr>
                <w:rFonts w:cs="Arial"/>
                <w:szCs w:val="20"/>
              </w:rPr>
              <w:t>Línea 3 Latas 16 oz</w:t>
            </w:r>
          </w:p>
        </w:tc>
        <w:tc>
          <w:tcPr>
            <w:tcW w:w="3260" w:type="dxa"/>
            <w:shd w:val="clear" w:color="auto" w:fill="auto"/>
            <w:noWrap/>
            <w:vAlign w:val="center"/>
          </w:tcPr>
          <w:p w14:paraId="6130A00C" w14:textId="7BBCC561" w:rsidR="007605E6" w:rsidRPr="0036462F" w:rsidRDefault="00EE4D2D" w:rsidP="007D00B2">
            <w:pPr>
              <w:spacing w:line="276" w:lineRule="auto"/>
              <w:contextualSpacing/>
              <w:jc w:val="center"/>
              <w:rPr>
                <w:rFonts w:cs="Arial"/>
                <w:szCs w:val="20"/>
              </w:rPr>
            </w:pPr>
            <w:r w:rsidRPr="0036462F">
              <w:rPr>
                <w:rFonts w:cs="Arial"/>
                <w:szCs w:val="20"/>
              </w:rPr>
              <w:t>712.080</w:t>
            </w:r>
          </w:p>
        </w:tc>
        <w:tc>
          <w:tcPr>
            <w:tcW w:w="3261" w:type="dxa"/>
            <w:shd w:val="clear" w:color="auto" w:fill="auto"/>
            <w:noWrap/>
            <w:vAlign w:val="center"/>
          </w:tcPr>
          <w:p w14:paraId="2178DE1A" w14:textId="552439A2" w:rsidR="007605E6" w:rsidRPr="0036462F" w:rsidRDefault="00113B13" w:rsidP="007D00B2">
            <w:pPr>
              <w:spacing w:line="276" w:lineRule="auto"/>
              <w:contextualSpacing/>
              <w:jc w:val="center"/>
              <w:rPr>
                <w:rFonts w:cs="Arial"/>
                <w:szCs w:val="20"/>
              </w:rPr>
            </w:pPr>
            <w:r w:rsidRPr="0036462F">
              <w:rPr>
                <w:rFonts w:cs="Arial"/>
                <w:szCs w:val="20"/>
              </w:rPr>
              <w:t>60</w:t>
            </w:r>
            <w:r w:rsidR="007605E6" w:rsidRPr="0036462F">
              <w:rPr>
                <w:rFonts w:cs="Arial"/>
                <w:szCs w:val="20"/>
              </w:rPr>
              <w:t>%</w:t>
            </w:r>
          </w:p>
        </w:tc>
      </w:tr>
      <w:tr w:rsidR="007605E6" w:rsidRPr="0036462F" w14:paraId="6CD0455F" w14:textId="77777777" w:rsidTr="007D00B2">
        <w:trPr>
          <w:trHeight w:val="340"/>
          <w:jc w:val="center"/>
        </w:trPr>
        <w:tc>
          <w:tcPr>
            <w:tcW w:w="2830" w:type="dxa"/>
            <w:shd w:val="clear" w:color="auto" w:fill="auto"/>
            <w:noWrap/>
            <w:vAlign w:val="bottom"/>
            <w:hideMark/>
          </w:tcPr>
          <w:p w14:paraId="10C6C50B" w14:textId="77777777" w:rsidR="007605E6" w:rsidRPr="0036462F" w:rsidRDefault="007605E6" w:rsidP="007D00B2">
            <w:pPr>
              <w:spacing w:line="276" w:lineRule="auto"/>
              <w:contextualSpacing/>
              <w:rPr>
                <w:rFonts w:cs="Arial"/>
                <w:szCs w:val="20"/>
              </w:rPr>
            </w:pPr>
            <w:r w:rsidRPr="0036462F">
              <w:rPr>
                <w:rFonts w:cs="Arial"/>
                <w:szCs w:val="20"/>
              </w:rPr>
              <w:t>Línea Vidrio</w:t>
            </w:r>
          </w:p>
        </w:tc>
        <w:tc>
          <w:tcPr>
            <w:tcW w:w="3260" w:type="dxa"/>
            <w:shd w:val="clear" w:color="auto" w:fill="auto"/>
            <w:noWrap/>
            <w:vAlign w:val="center"/>
          </w:tcPr>
          <w:p w14:paraId="3481E348" w14:textId="3D02105A" w:rsidR="007605E6" w:rsidRPr="0036462F" w:rsidRDefault="007605E6" w:rsidP="007D00B2">
            <w:pPr>
              <w:spacing w:line="276" w:lineRule="auto"/>
              <w:contextualSpacing/>
              <w:jc w:val="center"/>
              <w:rPr>
                <w:rFonts w:cs="Arial"/>
                <w:szCs w:val="20"/>
              </w:rPr>
            </w:pPr>
            <w:r w:rsidRPr="0036462F">
              <w:rPr>
                <w:rFonts w:cs="Arial"/>
                <w:szCs w:val="20"/>
              </w:rPr>
              <w:t>1.</w:t>
            </w:r>
            <w:r w:rsidR="00113B13" w:rsidRPr="0036462F">
              <w:rPr>
                <w:rFonts w:cs="Arial"/>
                <w:szCs w:val="20"/>
              </w:rPr>
              <w:t>071.360</w:t>
            </w:r>
          </w:p>
        </w:tc>
        <w:tc>
          <w:tcPr>
            <w:tcW w:w="3261" w:type="dxa"/>
            <w:shd w:val="clear" w:color="auto" w:fill="auto"/>
            <w:noWrap/>
            <w:vAlign w:val="center"/>
          </w:tcPr>
          <w:p w14:paraId="75F9020B" w14:textId="661957E1" w:rsidR="007605E6" w:rsidRPr="0036462F" w:rsidRDefault="001B7BA5" w:rsidP="007D00B2">
            <w:pPr>
              <w:spacing w:line="276" w:lineRule="auto"/>
              <w:contextualSpacing/>
              <w:jc w:val="center"/>
              <w:rPr>
                <w:rFonts w:cs="Arial"/>
                <w:szCs w:val="20"/>
              </w:rPr>
            </w:pPr>
            <w:r w:rsidRPr="0036462F">
              <w:rPr>
                <w:rFonts w:cs="Arial"/>
                <w:szCs w:val="20"/>
              </w:rPr>
              <w:t>4</w:t>
            </w:r>
            <w:r w:rsidR="007605E6" w:rsidRPr="0036462F">
              <w:rPr>
                <w:rFonts w:cs="Arial"/>
                <w:szCs w:val="20"/>
              </w:rPr>
              <w:t>7%</w:t>
            </w:r>
          </w:p>
        </w:tc>
      </w:tr>
      <w:tr w:rsidR="007605E6" w:rsidRPr="0036462F" w14:paraId="61ACE953" w14:textId="77777777" w:rsidTr="007D00B2">
        <w:trPr>
          <w:trHeight w:val="340"/>
          <w:jc w:val="center"/>
        </w:trPr>
        <w:tc>
          <w:tcPr>
            <w:tcW w:w="2830" w:type="dxa"/>
            <w:shd w:val="clear" w:color="auto" w:fill="auto"/>
            <w:noWrap/>
            <w:vAlign w:val="bottom"/>
            <w:hideMark/>
          </w:tcPr>
          <w:p w14:paraId="0D024494" w14:textId="77777777" w:rsidR="007605E6" w:rsidRPr="0036462F" w:rsidRDefault="007605E6" w:rsidP="007D00B2">
            <w:pPr>
              <w:spacing w:line="276" w:lineRule="auto"/>
              <w:contextualSpacing/>
              <w:rPr>
                <w:rFonts w:cs="Arial"/>
                <w:szCs w:val="20"/>
              </w:rPr>
            </w:pPr>
            <w:r w:rsidRPr="0036462F">
              <w:rPr>
                <w:rFonts w:cs="Arial"/>
                <w:szCs w:val="20"/>
              </w:rPr>
              <w:t>Línea "Draft"</w:t>
            </w:r>
          </w:p>
        </w:tc>
        <w:tc>
          <w:tcPr>
            <w:tcW w:w="3260" w:type="dxa"/>
            <w:shd w:val="clear" w:color="auto" w:fill="auto"/>
            <w:noWrap/>
            <w:vAlign w:val="center"/>
          </w:tcPr>
          <w:p w14:paraId="2B0D8702" w14:textId="7AA464A1" w:rsidR="007605E6" w:rsidRPr="0036462F" w:rsidRDefault="00113B13" w:rsidP="007D00B2">
            <w:pPr>
              <w:spacing w:line="276" w:lineRule="auto"/>
              <w:contextualSpacing/>
              <w:jc w:val="center"/>
              <w:rPr>
                <w:rFonts w:cs="Arial"/>
                <w:szCs w:val="20"/>
              </w:rPr>
            </w:pPr>
            <w:r w:rsidRPr="0036462F">
              <w:rPr>
                <w:rFonts w:cs="Arial"/>
                <w:szCs w:val="20"/>
              </w:rPr>
              <w:t>96.000</w:t>
            </w:r>
          </w:p>
        </w:tc>
        <w:tc>
          <w:tcPr>
            <w:tcW w:w="3261" w:type="dxa"/>
            <w:shd w:val="clear" w:color="auto" w:fill="auto"/>
            <w:noWrap/>
            <w:vAlign w:val="center"/>
          </w:tcPr>
          <w:p w14:paraId="410115C4" w14:textId="231B9D16" w:rsidR="007605E6" w:rsidRPr="0036462F" w:rsidRDefault="001B7BA5" w:rsidP="007D00B2">
            <w:pPr>
              <w:spacing w:line="276" w:lineRule="auto"/>
              <w:contextualSpacing/>
              <w:jc w:val="center"/>
              <w:rPr>
                <w:rFonts w:cs="Arial"/>
                <w:szCs w:val="20"/>
              </w:rPr>
            </w:pPr>
            <w:r w:rsidRPr="0036462F">
              <w:rPr>
                <w:rFonts w:cs="Arial"/>
                <w:szCs w:val="20"/>
              </w:rPr>
              <w:t>48%</w:t>
            </w:r>
          </w:p>
        </w:tc>
      </w:tr>
      <w:tr w:rsidR="007605E6" w:rsidRPr="00382A62" w14:paraId="01385DF5" w14:textId="77777777" w:rsidTr="007D00B2">
        <w:trPr>
          <w:trHeight w:val="340"/>
          <w:jc w:val="center"/>
        </w:trPr>
        <w:tc>
          <w:tcPr>
            <w:tcW w:w="2830" w:type="dxa"/>
            <w:shd w:val="clear" w:color="auto" w:fill="auto"/>
            <w:noWrap/>
            <w:vAlign w:val="bottom"/>
            <w:hideMark/>
          </w:tcPr>
          <w:p w14:paraId="41800F49" w14:textId="77777777" w:rsidR="007605E6" w:rsidRPr="0036462F" w:rsidRDefault="007605E6" w:rsidP="007D00B2">
            <w:pPr>
              <w:spacing w:line="276" w:lineRule="auto"/>
              <w:contextualSpacing/>
              <w:rPr>
                <w:rFonts w:cs="Arial"/>
                <w:szCs w:val="20"/>
              </w:rPr>
            </w:pPr>
            <w:r w:rsidRPr="0036462F">
              <w:rPr>
                <w:rFonts w:cs="Arial"/>
                <w:szCs w:val="20"/>
              </w:rPr>
              <w:t>Línea "Packs"</w:t>
            </w:r>
          </w:p>
        </w:tc>
        <w:tc>
          <w:tcPr>
            <w:tcW w:w="3260" w:type="dxa"/>
            <w:shd w:val="clear" w:color="auto" w:fill="auto"/>
            <w:noWrap/>
            <w:vAlign w:val="center"/>
          </w:tcPr>
          <w:p w14:paraId="68D74034" w14:textId="66712A2A" w:rsidR="007605E6" w:rsidRPr="0036462F" w:rsidRDefault="00113B13" w:rsidP="007D00B2">
            <w:pPr>
              <w:spacing w:line="276" w:lineRule="auto"/>
              <w:contextualSpacing/>
              <w:jc w:val="center"/>
              <w:rPr>
                <w:rFonts w:cs="Arial"/>
                <w:szCs w:val="20"/>
              </w:rPr>
            </w:pPr>
            <w:r w:rsidRPr="0036462F">
              <w:rPr>
                <w:rFonts w:cs="Arial"/>
                <w:szCs w:val="20"/>
              </w:rPr>
              <w:t>395.280</w:t>
            </w:r>
          </w:p>
        </w:tc>
        <w:tc>
          <w:tcPr>
            <w:tcW w:w="3261" w:type="dxa"/>
            <w:shd w:val="clear" w:color="auto" w:fill="auto"/>
            <w:noWrap/>
            <w:vAlign w:val="center"/>
          </w:tcPr>
          <w:p w14:paraId="24C6FF2E" w14:textId="21F2BFF0" w:rsidR="007605E6" w:rsidRPr="00382A62" w:rsidRDefault="001B7BA5" w:rsidP="007D00B2">
            <w:pPr>
              <w:spacing w:line="276" w:lineRule="auto"/>
              <w:contextualSpacing/>
              <w:jc w:val="center"/>
              <w:rPr>
                <w:rFonts w:cs="Arial"/>
                <w:szCs w:val="20"/>
              </w:rPr>
            </w:pPr>
            <w:r w:rsidRPr="0036462F">
              <w:rPr>
                <w:rFonts w:cs="Arial"/>
                <w:szCs w:val="20"/>
              </w:rPr>
              <w:t>58</w:t>
            </w:r>
            <w:r w:rsidR="007605E6" w:rsidRPr="0036462F">
              <w:rPr>
                <w:rFonts w:cs="Arial"/>
                <w:szCs w:val="20"/>
              </w:rPr>
              <w:t>%</w:t>
            </w:r>
          </w:p>
        </w:tc>
      </w:tr>
    </w:tbl>
    <w:p w14:paraId="6A79361A" w14:textId="77777777" w:rsidR="007605E6" w:rsidRPr="00382A62" w:rsidRDefault="007605E6" w:rsidP="007605E6">
      <w:pPr>
        <w:rPr>
          <w:rFonts w:cs="Arial"/>
          <w:szCs w:val="20"/>
        </w:rPr>
      </w:pPr>
    </w:p>
    <w:p w14:paraId="471D62D5" w14:textId="6B6CB965" w:rsidR="007605E6" w:rsidRPr="00382A62" w:rsidRDefault="007605E6" w:rsidP="007605E6">
      <w:pPr>
        <w:rPr>
          <w:rFonts w:cs="Arial"/>
          <w:szCs w:val="20"/>
        </w:rPr>
      </w:pPr>
      <w:r w:rsidRPr="00382A62">
        <w:rPr>
          <w:rFonts w:cs="Arial"/>
          <w:szCs w:val="20"/>
        </w:rPr>
        <w:t>Para el resguardo de la calidad</w:t>
      </w:r>
      <w:r w:rsidR="00BA4858" w:rsidRPr="00382A62">
        <w:rPr>
          <w:rFonts w:cs="Arial"/>
          <w:szCs w:val="20"/>
        </w:rPr>
        <w:t>,</w:t>
      </w:r>
      <w:r w:rsidRPr="00382A62">
        <w:rPr>
          <w:rFonts w:cs="Arial"/>
          <w:szCs w:val="20"/>
        </w:rPr>
        <w:t xml:space="preserve"> en cada una de las plantas se cuenta con modernos laboratorios de control de calidad, en los cuales laboran profesionales altamente calificados. En estos laboratorios se someten a análisis las diferentes materias primas y el producto en las distintas etapas del proceso de producción.</w:t>
      </w:r>
    </w:p>
    <w:p w14:paraId="4D654D16" w14:textId="77777777" w:rsidR="007605E6" w:rsidRPr="00382A62" w:rsidRDefault="007605E6" w:rsidP="007605E6">
      <w:pPr>
        <w:rPr>
          <w:rFonts w:cs="Arial"/>
          <w:szCs w:val="20"/>
        </w:rPr>
      </w:pPr>
      <w:r w:rsidRPr="00382A62">
        <w:rPr>
          <w:rFonts w:cs="Arial"/>
          <w:szCs w:val="20"/>
        </w:rPr>
        <w:t>Para reforzar los estrictos controles laboratorios de Estados Unidos analizan periódicamente muestras de la producción y verifican la calidad de las materias primas antes de ser adquiridas.</w:t>
      </w:r>
    </w:p>
    <w:p w14:paraId="089006A1" w14:textId="77777777" w:rsidR="007605E6" w:rsidRPr="00382A62" w:rsidRDefault="007605E6" w:rsidP="007605E6">
      <w:pPr>
        <w:pStyle w:val="Prrafodelista"/>
        <w:numPr>
          <w:ilvl w:val="0"/>
          <w:numId w:val="24"/>
        </w:numPr>
        <w:rPr>
          <w:rFonts w:eastAsia="Arial" w:cs="Arial"/>
          <w:b/>
          <w:szCs w:val="20"/>
        </w:rPr>
      </w:pPr>
      <w:r w:rsidRPr="00382A62">
        <w:rPr>
          <w:rFonts w:cs="Arial"/>
          <w:b/>
          <w:bCs/>
          <w:szCs w:val="20"/>
        </w:rPr>
        <w:lastRenderedPageBreak/>
        <w:t>Sucursales</w:t>
      </w:r>
    </w:p>
    <w:p w14:paraId="185AFC1F" w14:textId="435D756C" w:rsidR="007605E6" w:rsidRPr="00382A62" w:rsidRDefault="007605E6" w:rsidP="007605E6">
      <w:pPr>
        <w:rPr>
          <w:rFonts w:cs="Arial"/>
          <w:szCs w:val="20"/>
        </w:rPr>
      </w:pPr>
      <w:r w:rsidRPr="00382A62">
        <w:rPr>
          <w:rFonts w:cs="Arial"/>
          <w:szCs w:val="20"/>
        </w:rPr>
        <w:t>Como sucursales en Costa Rica</w:t>
      </w:r>
      <w:r w:rsidR="00BA4858" w:rsidRPr="00382A62">
        <w:rPr>
          <w:rFonts w:cs="Arial"/>
          <w:szCs w:val="20"/>
        </w:rPr>
        <w:t>,</w:t>
      </w:r>
      <w:r w:rsidRPr="00382A62">
        <w:rPr>
          <w:rFonts w:cs="Arial"/>
          <w:szCs w:val="20"/>
        </w:rPr>
        <w:t xml:space="preserve"> se mantienen 8 agencias en zona rural</w:t>
      </w:r>
      <w:r w:rsidR="00BA4858" w:rsidRPr="00382A62">
        <w:rPr>
          <w:rFonts w:cs="Arial"/>
          <w:szCs w:val="20"/>
        </w:rPr>
        <w:t>,</w:t>
      </w:r>
      <w:r w:rsidRPr="00382A62">
        <w:rPr>
          <w:rFonts w:cs="Arial"/>
          <w:szCs w:val="20"/>
        </w:rPr>
        <w:t xml:space="preserve"> las cuales brindan el servicio a las zonas aledañas. Dichas agencias se ubican en: Puntarenas, Liberia, Nicoya, Guápiles, Limón, San Carlos, San Isidro de El General y Ciudad Neilly y un Centro de Distribución al este de la capital en Costa Rica.</w:t>
      </w:r>
    </w:p>
    <w:p w14:paraId="7586FC7D" w14:textId="736E8234" w:rsidR="007605E6" w:rsidRPr="00382A62" w:rsidRDefault="007605E6" w:rsidP="007605E6">
      <w:pPr>
        <w:rPr>
          <w:rFonts w:cs="Arial"/>
          <w:szCs w:val="20"/>
        </w:rPr>
      </w:pPr>
      <w:r w:rsidRPr="00382A62">
        <w:rPr>
          <w:rFonts w:cs="Arial"/>
          <w:szCs w:val="20"/>
        </w:rPr>
        <w:t>En el caso de Estados Unidos</w:t>
      </w:r>
      <w:r w:rsidR="00DE2046" w:rsidRPr="00382A62">
        <w:rPr>
          <w:rFonts w:cs="Arial"/>
          <w:szCs w:val="20"/>
        </w:rPr>
        <w:t>,</w:t>
      </w:r>
      <w:r w:rsidRPr="00382A62">
        <w:rPr>
          <w:rFonts w:cs="Arial"/>
          <w:szCs w:val="20"/>
        </w:rPr>
        <w:t xml:space="preserve"> se cuenta con dos locales minoristas de punto de venta directa al consumidor. </w:t>
      </w:r>
    </w:p>
    <w:p w14:paraId="0471EF83" w14:textId="4C383B00" w:rsidR="004701D7" w:rsidRPr="00382A62" w:rsidRDefault="007605E6" w:rsidP="007605E6">
      <w:pPr>
        <w:rPr>
          <w:rFonts w:cs="Arial"/>
          <w:szCs w:val="20"/>
        </w:rPr>
      </w:pPr>
      <w:r w:rsidRPr="00382A62">
        <w:rPr>
          <w:rFonts w:cs="Arial"/>
          <w:szCs w:val="20"/>
        </w:rPr>
        <w:t>En Guatemala tanto la planta de producción como los centros de almacenaje y distribución se encuentran ubicados en Zona 18.</w:t>
      </w:r>
    </w:p>
    <w:p w14:paraId="1AD1CDB0" w14:textId="77777777" w:rsidR="007605E6" w:rsidRPr="00382A62" w:rsidRDefault="007605E6" w:rsidP="007605E6">
      <w:pPr>
        <w:pStyle w:val="Prrafodelista"/>
        <w:numPr>
          <w:ilvl w:val="0"/>
          <w:numId w:val="24"/>
        </w:numPr>
        <w:rPr>
          <w:rFonts w:eastAsia="Arial" w:cs="Arial"/>
          <w:b/>
          <w:szCs w:val="20"/>
        </w:rPr>
      </w:pPr>
      <w:r w:rsidRPr="00382A62">
        <w:rPr>
          <w:rFonts w:eastAsia="Arial" w:cs="Arial"/>
          <w:b/>
          <w:szCs w:val="20"/>
        </w:rPr>
        <w:t>Distribución</w:t>
      </w:r>
    </w:p>
    <w:p w14:paraId="7DCC8B70" w14:textId="2151A13B" w:rsidR="007605E6" w:rsidRPr="00382A62" w:rsidRDefault="007605E6" w:rsidP="007605E6">
      <w:pPr>
        <w:rPr>
          <w:rFonts w:cs="Arial"/>
          <w:szCs w:val="20"/>
        </w:rPr>
      </w:pPr>
      <w:r w:rsidRPr="00382A62">
        <w:rPr>
          <w:rFonts w:cs="Arial"/>
          <w:szCs w:val="20"/>
        </w:rPr>
        <w:t xml:space="preserve">El Centro de Distribución del Área Metropolitana en Costa Rica es un edificio con un área de bodega de 35.950m2 y 20.000m2 de alquiler con capacidad para almacenar y distribuir la totalidad de los productos de las fábricas de cerveza, bebidas no alcohólicas y alimentos. Además, dicho centro se encuentra en un sitio de aproximadamente 14 hectáreas, de forma que se cuenta con suficiente espacio de parqueo y área de maniobras de los camiones. El Centro de Distribución ubicado en </w:t>
      </w:r>
      <w:r w:rsidR="00E51215" w:rsidRPr="00382A62">
        <w:rPr>
          <w:rFonts w:cs="Arial"/>
          <w:szCs w:val="20"/>
        </w:rPr>
        <w:t xml:space="preserve">el </w:t>
      </w:r>
      <w:r w:rsidRPr="00382A62">
        <w:rPr>
          <w:rFonts w:cs="Arial"/>
          <w:szCs w:val="20"/>
        </w:rPr>
        <w:t xml:space="preserve">Este del Gran Área Metropolitana de Costa Rica </w:t>
      </w:r>
      <w:r w:rsidR="002063A0" w:rsidRPr="00382A62">
        <w:rPr>
          <w:rFonts w:cs="Arial"/>
          <w:szCs w:val="20"/>
        </w:rPr>
        <w:t xml:space="preserve">cuenta </w:t>
      </w:r>
      <w:r w:rsidRPr="00382A62">
        <w:rPr>
          <w:rFonts w:cs="Arial"/>
          <w:szCs w:val="20"/>
        </w:rPr>
        <w:t xml:space="preserve">con un área aproximada de 5,500 m2 </w:t>
      </w:r>
      <w:r w:rsidR="002063A0" w:rsidRPr="00382A62">
        <w:rPr>
          <w:rFonts w:cs="Arial"/>
          <w:szCs w:val="20"/>
        </w:rPr>
        <w:t xml:space="preserve">y </w:t>
      </w:r>
      <w:r w:rsidRPr="00382A62">
        <w:rPr>
          <w:rFonts w:cs="Arial"/>
          <w:szCs w:val="20"/>
        </w:rPr>
        <w:t xml:space="preserve">fue tercerizado. </w:t>
      </w:r>
    </w:p>
    <w:p w14:paraId="2B0E31DD" w14:textId="53A30583" w:rsidR="007605E6" w:rsidRPr="00382A62" w:rsidRDefault="007605E6" w:rsidP="007605E6">
      <w:pPr>
        <w:rPr>
          <w:rFonts w:cs="Arial"/>
          <w:szCs w:val="20"/>
        </w:rPr>
      </w:pPr>
      <w:r w:rsidRPr="00382A62">
        <w:rPr>
          <w:rFonts w:cs="Arial"/>
          <w:szCs w:val="20"/>
        </w:rPr>
        <w:t>La distribución en Estados Unidos se realiza por medio de una red con mayoristas clave.</w:t>
      </w:r>
    </w:p>
    <w:p w14:paraId="5A9BAD98" w14:textId="30174B75" w:rsidR="007605E6" w:rsidRPr="00382A62" w:rsidRDefault="007605E6" w:rsidP="007605E6">
      <w:pPr>
        <w:rPr>
          <w:rFonts w:cs="Arial"/>
          <w:szCs w:val="20"/>
        </w:rPr>
      </w:pPr>
      <w:r w:rsidRPr="00382A62">
        <w:rPr>
          <w:rFonts w:cs="Arial"/>
          <w:szCs w:val="20"/>
        </w:rPr>
        <w:t>Para el caso de Kern’s se cuenta con dos centros de distribución con un área de 6,105 m2 y 4,012 m2 además de un espacio de alquiler de 4,584 m2. Desde estos puntos se realiza todo el almacenaje y distribución de jugos</w:t>
      </w:r>
      <w:r w:rsidR="00DE2046" w:rsidRPr="00382A62">
        <w:rPr>
          <w:rFonts w:cs="Arial"/>
          <w:szCs w:val="20"/>
        </w:rPr>
        <w:t>,</w:t>
      </w:r>
      <w:r w:rsidRPr="00382A62">
        <w:rPr>
          <w:rFonts w:cs="Arial"/>
          <w:szCs w:val="20"/>
        </w:rPr>
        <w:t xml:space="preserve"> néctares y alimentos tanto a clientes finales como a distribuidores tercerizados.</w:t>
      </w:r>
    </w:p>
    <w:p w14:paraId="215F96E8" w14:textId="77777777" w:rsidR="007605E6" w:rsidRPr="00382A62" w:rsidRDefault="007605E6" w:rsidP="007605E6">
      <w:pPr>
        <w:pStyle w:val="Prrafodelista"/>
        <w:numPr>
          <w:ilvl w:val="0"/>
          <w:numId w:val="24"/>
        </w:numPr>
        <w:rPr>
          <w:rFonts w:eastAsia="Arial" w:cs="Arial"/>
          <w:b/>
          <w:szCs w:val="20"/>
        </w:rPr>
      </w:pPr>
      <w:r w:rsidRPr="00382A62">
        <w:rPr>
          <w:rFonts w:eastAsia="Arial" w:cs="Arial"/>
          <w:b/>
          <w:szCs w:val="20"/>
        </w:rPr>
        <w:t>Inmobiliaria</w:t>
      </w:r>
    </w:p>
    <w:p w14:paraId="6B2D1154" w14:textId="08B68B51" w:rsidR="007605E6" w:rsidRPr="00382A62" w:rsidRDefault="007605E6" w:rsidP="007605E6">
      <w:pPr>
        <w:rPr>
          <w:rFonts w:cs="Arial"/>
          <w:szCs w:val="20"/>
        </w:rPr>
      </w:pPr>
      <w:r w:rsidRPr="00382A62">
        <w:rPr>
          <w:rFonts w:cs="Arial"/>
          <w:szCs w:val="20"/>
        </w:rPr>
        <w:t>Actualmente Florida Inmobiliaria</w:t>
      </w:r>
      <w:r w:rsidR="00DE2046" w:rsidRPr="00382A62">
        <w:rPr>
          <w:rFonts w:cs="Arial"/>
          <w:szCs w:val="20"/>
        </w:rPr>
        <w:t>,</w:t>
      </w:r>
      <w:r w:rsidRPr="00382A62">
        <w:rPr>
          <w:rFonts w:cs="Arial"/>
          <w:szCs w:val="20"/>
        </w:rPr>
        <w:t xml:space="preserve"> S.A. es propietaria del 100% del proyecto turístico Reserva Conchal. Este se encuentra ubicado en la provincia de Guanacaste e incluye el Hotel Westin Playa Conchal Golf Resort &amp; Spa, el Hotel W Costa Rica y un área cercana a las 900 hectáreas dedicadas al desarrollo inmobiliario. </w:t>
      </w:r>
    </w:p>
    <w:p w14:paraId="3AFEB58F" w14:textId="70935936" w:rsidR="007605E6" w:rsidRPr="00382A62" w:rsidRDefault="007605E6" w:rsidP="007605E6">
      <w:pPr>
        <w:rPr>
          <w:rFonts w:cs="Arial"/>
          <w:szCs w:val="20"/>
        </w:rPr>
      </w:pPr>
      <w:r w:rsidRPr="00382A62">
        <w:rPr>
          <w:rFonts w:cs="Arial"/>
          <w:szCs w:val="20"/>
        </w:rPr>
        <w:t>Todas estas propiedades, plantas y equipos cuentan con un amplio esquema de seguros que coadyuvan a proteger el patrimonio de los accionistas en caso de cualquier eventualidad.</w:t>
      </w:r>
    </w:p>
    <w:p w14:paraId="5887F41B" w14:textId="77777777" w:rsidR="007605E6" w:rsidRPr="00382A62" w:rsidRDefault="007605E6" w:rsidP="007605E6">
      <w:pPr>
        <w:pStyle w:val="Ttulo3"/>
        <w:numPr>
          <w:ilvl w:val="1"/>
          <w:numId w:val="11"/>
        </w:numPr>
        <w:rPr>
          <w:rFonts w:cs="Arial"/>
          <w:sz w:val="20"/>
          <w:szCs w:val="20"/>
        </w:rPr>
      </w:pPr>
      <w:bookmarkStart w:id="151" w:name="_Toc131092887"/>
      <w:bookmarkStart w:id="152" w:name="_Toc131501088"/>
      <w:bookmarkStart w:id="153" w:name="_Toc169624647"/>
      <w:r w:rsidRPr="00382A62">
        <w:rPr>
          <w:rFonts w:cs="Arial"/>
          <w:sz w:val="20"/>
          <w:szCs w:val="20"/>
        </w:rPr>
        <w:t>Empleo y riqueza para los países en los que opera</w:t>
      </w:r>
      <w:bookmarkEnd w:id="151"/>
      <w:bookmarkEnd w:id="152"/>
      <w:bookmarkEnd w:id="153"/>
    </w:p>
    <w:p w14:paraId="72ACA2BF" w14:textId="5E0B64A9" w:rsidR="007605E6" w:rsidRPr="00382A62" w:rsidRDefault="007605E6" w:rsidP="007605E6">
      <w:pPr>
        <w:rPr>
          <w:rFonts w:cs="Arial"/>
          <w:szCs w:val="20"/>
        </w:rPr>
      </w:pPr>
      <w:r w:rsidRPr="00382A62">
        <w:rPr>
          <w:rFonts w:cs="Arial"/>
          <w:szCs w:val="20"/>
        </w:rPr>
        <w:t>En la actualidad</w:t>
      </w:r>
      <w:r w:rsidR="00DE2046" w:rsidRPr="00382A62">
        <w:rPr>
          <w:rFonts w:cs="Arial"/>
          <w:szCs w:val="20"/>
        </w:rPr>
        <w:t>,</w:t>
      </w:r>
      <w:r w:rsidRPr="00382A62">
        <w:rPr>
          <w:rFonts w:cs="Arial"/>
          <w:szCs w:val="20"/>
        </w:rPr>
        <w:t xml:space="preserve"> FIFCO se ha convertido en una compañía generadora de empleo directo e indirecto. Al 31 de diciembre de 2022 se contaba con 5.181 colaboradores.</w:t>
      </w:r>
    </w:p>
    <w:p w14:paraId="63EC6BA7" w14:textId="77777777" w:rsidR="007605E6" w:rsidRPr="00382A62" w:rsidRDefault="007605E6" w:rsidP="007605E6">
      <w:pPr>
        <w:rPr>
          <w:rFonts w:cs="Arial"/>
          <w:szCs w:val="20"/>
        </w:rPr>
      </w:pPr>
      <w:r w:rsidRPr="00382A62">
        <w:rPr>
          <w:rFonts w:cs="Arial"/>
          <w:szCs w:val="20"/>
        </w:rPr>
        <w:t xml:space="preserve">Además de pagar impuestos, dividendos y salarios, la Compañía invierte grandes sumas en las compras de bienes y servicios. Por otra parte, hay una gran diversidad de fábricas y empresas que han ido creciendo junto a ella, al suministrarle sus productos o solicitar sus servicios principalmente en Costa Rica donde tiene su mayor operación. De esta forma la Compañía contribuye de múltiples formas al bienestar de las geografías en donde se opera. </w:t>
      </w:r>
    </w:p>
    <w:p w14:paraId="2C13293D" w14:textId="5BB9CD63" w:rsidR="00A00ECA" w:rsidRPr="00382A62" w:rsidRDefault="007605E6" w:rsidP="00555564">
      <w:pPr>
        <w:rPr>
          <w:rFonts w:cs="Arial"/>
          <w:szCs w:val="20"/>
        </w:rPr>
      </w:pPr>
      <w:r w:rsidRPr="00382A62">
        <w:rPr>
          <w:rFonts w:cs="Arial"/>
          <w:szCs w:val="20"/>
        </w:rPr>
        <w:lastRenderedPageBreak/>
        <w:t>En cuanto a los trabajadores se procura que además de una adecuada compensación tengan condiciones seguras de trabajo, gocen de buenos servicios de alimentación y salud, y tengan facilidades recreativas que les sirvan a ellos y a sus familias. Los empleados de FIFCO en Costa Rica están organizados en asociaciones solidaristas que cuentan con el apoyo total de la Compañía y que rinden grandes beneficios a los trabajadores.</w:t>
      </w:r>
      <w:r w:rsidR="00A00ECA" w:rsidRPr="00382A62">
        <w:rPr>
          <w:rFonts w:cs="Arial"/>
          <w:szCs w:val="20"/>
        </w:rPr>
        <w:br w:type="page"/>
      </w:r>
    </w:p>
    <w:p w14:paraId="7621DE6D" w14:textId="6B8EF0D3" w:rsidR="00EC7021" w:rsidRPr="00382A62" w:rsidRDefault="000B5830" w:rsidP="007F3A2B">
      <w:pPr>
        <w:rPr>
          <w:rFonts w:cs="Arial"/>
          <w:szCs w:val="20"/>
        </w:rPr>
      </w:pPr>
      <w:r w:rsidRPr="00382A62">
        <w:rPr>
          <w:rFonts w:cs="Arial"/>
          <w:noProof/>
          <w:szCs w:val="20"/>
        </w:rPr>
        <w:lastRenderedPageBreak/>
        <w:drawing>
          <wp:anchor distT="0" distB="0" distL="114300" distR="114300" simplePos="0" relativeHeight="251707392" behindDoc="1" locked="0" layoutInCell="1" allowOverlap="1" wp14:anchorId="4B3FF1FF" wp14:editId="5F07D5EA">
            <wp:simplePos x="0" y="0"/>
            <wp:positionH relativeFrom="page">
              <wp:align>left</wp:align>
            </wp:positionH>
            <wp:positionV relativeFrom="paragraph">
              <wp:posOffset>-914400</wp:posOffset>
            </wp:positionV>
            <wp:extent cx="7719319" cy="10031104"/>
            <wp:effectExtent l="0" t="0" r="0" b="825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19319" cy="100311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EF090" w14:textId="6FBE1DED" w:rsidR="00EC7021" w:rsidRPr="00382A62" w:rsidRDefault="00EC7021" w:rsidP="007F3A2B">
      <w:pPr>
        <w:rPr>
          <w:rFonts w:cs="Arial"/>
          <w:szCs w:val="20"/>
        </w:rPr>
      </w:pPr>
    </w:p>
    <w:p w14:paraId="313F8C9F" w14:textId="01901D5E" w:rsidR="009B56CB" w:rsidRPr="00382A62" w:rsidRDefault="004157E5" w:rsidP="007F3A2B">
      <w:pPr>
        <w:rPr>
          <w:rFonts w:cs="Arial"/>
          <w:szCs w:val="20"/>
        </w:rPr>
      </w:pPr>
      <w:r w:rsidRPr="00382A62">
        <w:rPr>
          <w:rFonts w:cs="Arial"/>
          <w:noProof/>
          <w:szCs w:val="20"/>
        </w:rPr>
        <mc:AlternateContent>
          <mc:Choice Requires="wps">
            <w:drawing>
              <wp:inline distT="0" distB="0" distL="0" distR="0" wp14:anchorId="6AB603DF" wp14:editId="0A67F1DB">
                <wp:extent cx="304800" cy="304800"/>
                <wp:effectExtent l="0" t="0" r="0" b="0"/>
                <wp:docPr id="3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675C87"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026E19" w14:textId="77777777" w:rsidR="00E947F1" w:rsidRPr="00382A62" w:rsidRDefault="00E947F1" w:rsidP="00BB2B29">
      <w:pPr>
        <w:rPr>
          <w:rFonts w:cs="Arial"/>
          <w:szCs w:val="20"/>
        </w:rPr>
      </w:pPr>
    </w:p>
    <w:p w14:paraId="6E46BA14" w14:textId="77777777" w:rsidR="00E947F1" w:rsidRPr="00382A62" w:rsidRDefault="00E947F1" w:rsidP="005D4BAB">
      <w:pPr>
        <w:rPr>
          <w:rFonts w:cs="Arial"/>
          <w:szCs w:val="20"/>
        </w:rPr>
      </w:pPr>
    </w:p>
    <w:p w14:paraId="2A5D7AFE" w14:textId="77777777" w:rsidR="00A41070" w:rsidRPr="00382A62" w:rsidRDefault="00A41070" w:rsidP="005D4BAB">
      <w:pPr>
        <w:rPr>
          <w:rFonts w:cs="Arial"/>
          <w:szCs w:val="20"/>
        </w:rPr>
      </w:pPr>
    </w:p>
    <w:p w14:paraId="5F442123" w14:textId="77777777" w:rsidR="00A41070" w:rsidRPr="00382A62" w:rsidRDefault="00A41070" w:rsidP="005D4BAB">
      <w:pPr>
        <w:rPr>
          <w:rFonts w:cs="Arial"/>
          <w:szCs w:val="20"/>
        </w:rPr>
      </w:pPr>
    </w:p>
    <w:p w14:paraId="53B824C3" w14:textId="77777777" w:rsidR="00A41070" w:rsidRPr="00382A62" w:rsidRDefault="00A41070" w:rsidP="005D4BAB">
      <w:pPr>
        <w:rPr>
          <w:rFonts w:cs="Arial"/>
          <w:szCs w:val="20"/>
        </w:rPr>
      </w:pPr>
    </w:p>
    <w:p w14:paraId="5A674001" w14:textId="77777777" w:rsidR="00E947F1" w:rsidRPr="00382A62" w:rsidRDefault="00E947F1" w:rsidP="005D4BAB">
      <w:pPr>
        <w:rPr>
          <w:rFonts w:cs="Arial"/>
          <w:szCs w:val="20"/>
        </w:rPr>
      </w:pPr>
    </w:p>
    <w:p w14:paraId="460F472C" w14:textId="77777777" w:rsidR="00E947F1" w:rsidRPr="00382A62" w:rsidRDefault="00E947F1" w:rsidP="005D4BAB">
      <w:pPr>
        <w:rPr>
          <w:rFonts w:cs="Arial"/>
          <w:szCs w:val="20"/>
        </w:rPr>
      </w:pPr>
    </w:p>
    <w:p w14:paraId="532A3089" w14:textId="77777777" w:rsidR="00E947F1" w:rsidRPr="00382A62" w:rsidRDefault="00E947F1" w:rsidP="005D4BAB">
      <w:pPr>
        <w:rPr>
          <w:rFonts w:cs="Arial"/>
          <w:szCs w:val="20"/>
        </w:rPr>
      </w:pPr>
    </w:p>
    <w:p w14:paraId="1494D189" w14:textId="77777777" w:rsidR="00E947F1" w:rsidRPr="00382A62" w:rsidRDefault="00E947F1" w:rsidP="005D4BAB">
      <w:pPr>
        <w:rPr>
          <w:rFonts w:cs="Arial"/>
          <w:szCs w:val="20"/>
        </w:rPr>
      </w:pPr>
    </w:p>
    <w:p w14:paraId="2C373F79" w14:textId="30D733AC" w:rsidR="00373591" w:rsidRPr="00382A62" w:rsidRDefault="004157E5" w:rsidP="005D4BAB">
      <w:pPr>
        <w:rPr>
          <w:rFonts w:cs="Arial"/>
          <w:szCs w:val="20"/>
        </w:rPr>
      </w:pPr>
      <w:r w:rsidRPr="00382A62">
        <w:rPr>
          <w:rFonts w:cs="Arial"/>
          <w:noProof/>
          <w:szCs w:val="20"/>
        </w:rPr>
        <mc:AlternateContent>
          <mc:Choice Requires="wps">
            <w:drawing>
              <wp:inline distT="0" distB="0" distL="0" distR="0" wp14:anchorId="4AE6187D" wp14:editId="7846466D">
                <wp:extent cx="304800" cy="304800"/>
                <wp:effectExtent l="0" t="0" r="0" b="0"/>
                <wp:docPr id="3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70526B"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E8AE277" w14:textId="77777777" w:rsidR="00373591" w:rsidRPr="00382A62" w:rsidRDefault="00373591" w:rsidP="005D4BAB">
      <w:pPr>
        <w:rPr>
          <w:rFonts w:cs="Arial"/>
          <w:szCs w:val="20"/>
        </w:rPr>
      </w:pPr>
    </w:p>
    <w:p w14:paraId="00B24F86" w14:textId="77777777" w:rsidR="00716697" w:rsidRPr="00382A62" w:rsidRDefault="00716697" w:rsidP="005D4BAB">
      <w:pPr>
        <w:rPr>
          <w:rFonts w:cs="Arial"/>
          <w:szCs w:val="20"/>
        </w:rPr>
      </w:pPr>
    </w:p>
    <w:p w14:paraId="53A18053" w14:textId="77777777" w:rsidR="005D4BAB" w:rsidRPr="00382A62" w:rsidRDefault="005D4BAB" w:rsidP="005D4BAB">
      <w:pPr>
        <w:rPr>
          <w:rFonts w:cs="Arial"/>
          <w:szCs w:val="20"/>
        </w:rPr>
      </w:pPr>
    </w:p>
    <w:p w14:paraId="75C4D647" w14:textId="77777777" w:rsidR="005D4BAB" w:rsidRPr="00382A62" w:rsidRDefault="005D4BAB" w:rsidP="005D4BAB">
      <w:pPr>
        <w:rPr>
          <w:rFonts w:cs="Arial"/>
          <w:szCs w:val="20"/>
        </w:rPr>
      </w:pPr>
    </w:p>
    <w:p w14:paraId="1B5D5D34" w14:textId="77777777" w:rsidR="005D4BAB" w:rsidRPr="00382A62" w:rsidRDefault="005D4BAB" w:rsidP="005D4BAB">
      <w:pPr>
        <w:rPr>
          <w:rFonts w:cs="Arial"/>
          <w:szCs w:val="20"/>
        </w:rPr>
      </w:pPr>
    </w:p>
    <w:p w14:paraId="67CD4DA9" w14:textId="77777777" w:rsidR="00373591" w:rsidRPr="0099549C" w:rsidRDefault="00373591" w:rsidP="00450241">
      <w:pPr>
        <w:pStyle w:val="Ttulo1"/>
        <w:rPr>
          <w:rFonts w:cs="Arial"/>
          <w:sz w:val="44"/>
          <w:szCs w:val="44"/>
        </w:rPr>
      </w:pPr>
      <w:bookmarkStart w:id="154" w:name="_Toc131501089"/>
      <w:bookmarkStart w:id="155" w:name="_Toc169624648"/>
      <w:r w:rsidRPr="0099549C">
        <w:rPr>
          <w:rFonts w:cs="Arial"/>
          <w:sz w:val="44"/>
          <w:szCs w:val="44"/>
        </w:rPr>
        <w:t>Capítulo</w:t>
      </w:r>
      <w:r w:rsidR="000B7F4D" w:rsidRPr="0099549C">
        <w:rPr>
          <w:rFonts w:cs="Arial"/>
          <w:sz w:val="44"/>
          <w:szCs w:val="44"/>
        </w:rPr>
        <w:t xml:space="preserve"> 4.</w:t>
      </w:r>
      <w:bookmarkEnd w:id="154"/>
      <w:bookmarkEnd w:id="155"/>
    </w:p>
    <w:p w14:paraId="4A2927F5" w14:textId="77777777" w:rsidR="00203F9E" w:rsidRPr="0099549C" w:rsidRDefault="00792C10" w:rsidP="00450241">
      <w:pPr>
        <w:pStyle w:val="Ttulo1"/>
        <w:rPr>
          <w:rFonts w:cs="Arial"/>
          <w:sz w:val="44"/>
          <w:szCs w:val="44"/>
        </w:rPr>
      </w:pPr>
      <w:bookmarkStart w:id="156" w:name="_Toc131501090"/>
      <w:bookmarkStart w:id="157" w:name="_Toc169624649"/>
      <w:r w:rsidRPr="0099549C">
        <w:rPr>
          <w:rFonts w:cs="Arial"/>
          <w:sz w:val="44"/>
          <w:szCs w:val="44"/>
        </w:rPr>
        <w:t>Resultados de operación y financieros e información prospectiva</w:t>
      </w:r>
      <w:bookmarkEnd w:id="156"/>
      <w:bookmarkEnd w:id="157"/>
    </w:p>
    <w:p w14:paraId="27EEBA7F" w14:textId="77777777" w:rsidR="00693175" w:rsidRDefault="00693175">
      <w:pPr>
        <w:spacing w:line="259" w:lineRule="auto"/>
        <w:jc w:val="left"/>
        <w:rPr>
          <w:rFonts w:cs="Arial"/>
          <w:szCs w:val="20"/>
        </w:rPr>
      </w:pPr>
    </w:p>
    <w:p w14:paraId="28D01662" w14:textId="77777777" w:rsidR="002E0AB9" w:rsidRDefault="002E0AB9">
      <w:pPr>
        <w:spacing w:line="259" w:lineRule="auto"/>
        <w:jc w:val="left"/>
        <w:rPr>
          <w:rFonts w:cs="Arial"/>
          <w:szCs w:val="20"/>
        </w:rPr>
      </w:pPr>
    </w:p>
    <w:p w14:paraId="1E381121" w14:textId="77777777" w:rsidR="002E0AB9" w:rsidRDefault="002E0AB9">
      <w:pPr>
        <w:spacing w:line="259" w:lineRule="auto"/>
        <w:jc w:val="left"/>
        <w:rPr>
          <w:rFonts w:cs="Arial"/>
          <w:szCs w:val="20"/>
        </w:rPr>
      </w:pPr>
    </w:p>
    <w:p w14:paraId="47EA1E90" w14:textId="77777777" w:rsidR="007605E6" w:rsidRPr="00382A62" w:rsidRDefault="007605E6" w:rsidP="00147CF2">
      <w:pPr>
        <w:pStyle w:val="Ttulo2"/>
        <w:numPr>
          <w:ilvl w:val="0"/>
          <w:numId w:val="27"/>
        </w:numPr>
        <w:rPr>
          <w:rFonts w:cs="Arial"/>
          <w:sz w:val="20"/>
          <w:szCs w:val="20"/>
        </w:rPr>
      </w:pPr>
      <w:bookmarkStart w:id="158" w:name="_Toc131092890"/>
      <w:bookmarkStart w:id="159" w:name="_Toc131501091"/>
      <w:bookmarkStart w:id="160" w:name="_Toc169624650"/>
      <w:r w:rsidRPr="00382A62">
        <w:rPr>
          <w:rFonts w:cs="Arial"/>
          <w:sz w:val="20"/>
          <w:szCs w:val="20"/>
        </w:rPr>
        <w:t>Resultados de Operación - Dimensión Económica</w:t>
      </w:r>
      <w:bookmarkEnd w:id="158"/>
      <w:bookmarkEnd w:id="159"/>
      <w:bookmarkEnd w:id="160"/>
    </w:p>
    <w:p w14:paraId="31B72577" w14:textId="4212AEA1" w:rsidR="003559CC" w:rsidRPr="00382A62" w:rsidRDefault="00D81867" w:rsidP="00F97C64">
      <w:pPr>
        <w:rPr>
          <w:rFonts w:eastAsia="Arial" w:cs="Arial"/>
          <w:szCs w:val="20"/>
        </w:rPr>
      </w:pPr>
      <w:r w:rsidRPr="00382A62">
        <w:rPr>
          <w:rFonts w:eastAsia="Arial" w:cs="Arial"/>
          <w:szCs w:val="20"/>
        </w:rPr>
        <w:t>Llegamos al 115 aniversario de FIFCO con récords históricos en utilidad de operación, EBITDA, utilidad neta atribuible a los accionistas y pago de dividendos. Se suman a lo anterior, marcas y categorías fortalecidas, así como, importantes e innovadoras agendas que buscan la creación de valor ambiental y social con una sólida gobernanza.</w:t>
      </w:r>
      <w:r w:rsidR="00F95603" w:rsidRPr="00382A62">
        <w:rPr>
          <w:rFonts w:eastAsia="Arial" w:cs="Arial"/>
          <w:szCs w:val="20"/>
        </w:rPr>
        <w:t xml:space="preserve"> </w:t>
      </w:r>
    </w:p>
    <w:p w14:paraId="41193A1C" w14:textId="13CABC03" w:rsidR="00F97C64" w:rsidRPr="00382A62" w:rsidRDefault="00F97C64" w:rsidP="00F97C64">
      <w:pPr>
        <w:rPr>
          <w:rFonts w:eastAsia="Arial" w:cs="Arial"/>
          <w:szCs w:val="20"/>
        </w:rPr>
      </w:pPr>
      <w:r w:rsidRPr="00382A62">
        <w:rPr>
          <w:rFonts w:eastAsia="Arial" w:cs="Arial"/>
          <w:szCs w:val="20"/>
        </w:rPr>
        <w:t>Los resultados del año 2023 capturan en gran parte el enfoque dado a las prioridades definidas y comunicadas para el año:</w:t>
      </w:r>
    </w:p>
    <w:p w14:paraId="40F99CD5" w14:textId="5C26B51D" w:rsidR="00F97C64" w:rsidRPr="00382A62" w:rsidRDefault="00F97C64" w:rsidP="006E2CB0">
      <w:pPr>
        <w:ind w:left="708"/>
        <w:rPr>
          <w:rFonts w:eastAsia="Arial" w:cs="Arial"/>
          <w:szCs w:val="20"/>
        </w:rPr>
      </w:pPr>
      <w:r w:rsidRPr="00382A62">
        <w:rPr>
          <w:rFonts w:eastAsia="Arial" w:cs="Arial"/>
          <w:szCs w:val="20"/>
        </w:rPr>
        <w:t>1</w:t>
      </w:r>
      <w:r w:rsidRPr="00382A62">
        <w:rPr>
          <w:rFonts w:eastAsia="Arial" w:cs="Arial"/>
          <w:b/>
          <w:bCs/>
          <w:szCs w:val="20"/>
        </w:rPr>
        <w:t>. Recalibración de los negocios:</w:t>
      </w:r>
      <w:r w:rsidRPr="00382A62">
        <w:rPr>
          <w:rFonts w:eastAsia="Arial" w:cs="Arial"/>
          <w:szCs w:val="20"/>
        </w:rPr>
        <w:t xml:space="preserve"> </w:t>
      </w:r>
      <w:r w:rsidR="00A41C4E" w:rsidRPr="00382A62">
        <w:rPr>
          <w:rFonts w:eastAsia="Arial" w:cs="Arial"/>
          <w:szCs w:val="20"/>
        </w:rPr>
        <w:t>La recalibración de los negocios nos llevó a un profundo entendimiento de los retos y oportunidades que presentan tanto las geografías en las que operamos como las categorías en las que competimos. A pesar de seguir operando en un entorno volátil, la mayoría de los negocios mostraron</w:t>
      </w:r>
      <w:r w:rsidR="00A0609D" w:rsidRPr="00382A62">
        <w:rPr>
          <w:rFonts w:eastAsia="Arial" w:cs="Arial"/>
          <w:szCs w:val="20"/>
        </w:rPr>
        <w:t xml:space="preserve"> </w:t>
      </w:r>
      <w:r w:rsidR="004D46A7" w:rsidRPr="00382A62">
        <w:rPr>
          <w:rFonts w:eastAsia="Arial" w:cs="Arial"/>
          <w:szCs w:val="20"/>
        </w:rPr>
        <w:t>c</w:t>
      </w:r>
      <w:r w:rsidR="00A41C4E" w:rsidRPr="00382A62">
        <w:rPr>
          <w:rFonts w:eastAsia="Arial" w:cs="Arial"/>
          <w:szCs w:val="20"/>
        </w:rPr>
        <w:t>recimiento</w:t>
      </w:r>
      <w:r w:rsidR="00C60DF3" w:rsidRPr="00382A62">
        <w:rPr>
          <w:rFonts w:eastAsia="Arial" w:cs="Arial"/>
          <w:szCs w:val="20"/>
        </w:rPr>
        <w:t xml:space="preserve">. </w:t>
      </w:r>
      <w:r w:rsidR="003936F5" w:rsidRPr="00382A62">
        <w:rPr>
          <w:rFonts w:eastAsia="Arial" w:cs="Arial"/>
          <w:szCs w:val="20"/>
        </w:rPr>
        <w:t>Esta recalibración de los negocios resulta en un accionar claro y contundente de cara al año 2024</w:t>
      </w:r>
      <w:r w:rsidR="004D699C" w:rsidRPr="00382A62">
        <w:rPr>
          <w:rFonts w:eastAsia="Arial" w:cs="Arial"/>
          <w:szCs w:val="20"/>
        </w:rPr>
        <w:t>,</w:t>
      </w:r>
      <w:r w:rsidR="004D699C" w:rsidRPr="00382A62">
        <w:rPr>
          <w:rFonts w:cs="Arial"/>
          <w:szCs w:val="20"/>
        </w:rPr>
        <w:t xml:space="preserve"> </w:t>
      </w:r>
      <w:r w:rsidR="004D699C" w:rsidRPr="00382A62">
        <w:rPr>
          <w:rFonts w:eastAsia="Arial" w:cs="Arial"/>
          <w:szCs w:val="20"/>
        </w:rPr>
        <w:t>sentando las bases correctas para los años que vienen.</w:t>
      </w:r>
    </w:p>
    <w:p w14:paraId="6B3EC5C6" w14:textId="77777777" w:rsidR="006855D7" w:rsidRPr="00382A62" w:rsidRDefault="006855D7" w:rsidP="006E2CB0">
      <w:pPr>
        <w:ind w:left="708"/>
        <w:rPr>
          <w:rFonts w:eastAsia="Arial" w:cs="Arial"/>
          <w:szCs w:val="20"/>
        </w:rPr>
      </w:pPr>
      <w:r w:rsidRPr="00382A62">
        <w:rPr>
          <w:rFonts w:eastAsia="Arial" w:cs="Arial"/>
          <w:szCs w:val="20"/>
        </w:rPr>
        <w:t>La categoría de cerveza en Costa Rica presenta resultados saludables a pesar de un ambiente de alta competencia. Las bebidas refrescantes y funcionales retoman la senda de crecimiento, logrando un crecimiento del 10% contra año anterior y por último, en bebidas alcohólicas saborizadas, continuamos liderando en preferencia en mercados clave como Costa Rica, a la vez que diseñamos el futuro y el mercado de esta categoría de alto potencial, categoría que juega un papel estratégico en la regionalización de nuestro portafolio en geografías como México, Centroamérica y más recientemente, el Caribe.</w:t>
      </w:r>
    </w:p>
    <w:p w14:paraId="62363ABC" w14:textId="5B306206" w:rsidR="006855D7" w:rsidRPr="00382A62" w:rsidRDefault="006855D7" w:rsidP="006E2CB0">
      <w:pPr>
        <w:ind w:left="708" w:firstLine="60"/>
        <w:rPr>
          <w:rFonts w:eastAsia="Arial" w:cs="Arial"/>
          <w:szCs w:val="20"/>
        </w:rPr>
      </w:pPr>
      <w:r w:rsidRPr="00382A62">
        <w:rPr>
          <w:rFonts w:eastAsia="Arial" w:cs="Arial"/>
          <w:szCs w:val="20"/>
        </w:rPr>
        <w:t xml:space="preserve">El negocio de Estados Unidos se ve afectado por mayores costos por inflación y gastos de mercadeo, una caída en el volumen de bebidas alcohólicas saborizadas y el efecto cambiario, principalmente. En respuesta a este contexto, durante este periodo se toman medidas que sientan la base de cara a un replanteamiento del negocio en esta geografía, el cual contempla cambios significativos en la forma de operar y en la propuesta de valor de las principales marcas. </w:t>
      </w:r>
    </w:p>
    <w:p w14:paraId="7DAAD075" w14:textId="5578173C" w:rsidR="002B7A4F" w:rsidRPr="00382A62" w:rsidRDefault="006855D7" w:rsidP="006E2CB0">
      <w:pPr>
        <w:ind w:left="708"/>
        <w:rPr>
          <w:rFonts w:eastAsia="Arial" w:cs="Arial"/>
          <w:szCs w:val="20"/>
        </w:rPr>
      </w:pPr>
      <w:r w:rsidRPr="00382A62">
        <w:rPr>
          <w:rFonts w:eastAsia="Arial" w:cs="Arial"/>
          <w:szCs w:val="20"/>
        </w:rPr>
        <w:t>La operación de México, siendo un negocio emergente, reporta una afectación por costos logísticos, propios de hacer negocios en un mercado de esas dimensiones, pero da señales positivas con una evidente preferencia por parte de los consumidores reflejada en mayor participación de un segmento de mercado creciente</w:t>
      </w:r>
      <w:r w:rsidR="002B7A4F" w:rsidRPr="00382A62">
        <w:rPr>
          <w:rFonts w:eastAsia="Arial" w:cs="Arial"/>
          <w:szCs w:val="20"/>
        </w:rPr>
        <w:t>.</w:t>
      </w:r>
    </w:p>
    <w:p w14:paraId="08AFB62B" w14:textId="1A6E0DDD" w:rsidR="00E47454" w:rsidRPr="00382A62" w:rsidRDefault="00F97C64" w:rsidP="0099549C">
      <w:pPr>
        <w:ind w:left="708"/>
        <w:rPr>
          <w:rFonts w:eastAsia="Arial" w:cs="Arial"/>
          <w:szCs w:val="20"/>
        </w:rPr>
      </w:pPr>
      <w:r w:rsidRPr="00382A62">
        <w:rPr>
          <w:rFonts w:eastAsia="Arial" w:cs="Arial"/>
          <w:szCs w:val="20"/>
        </w:rPr>
        <w:t xml:space="preserve">2. </w:t>
      </w:r>
      <w:r w:rsidRPr="00382A62">
        <w:rPr>
          <w:rFonts w:eastAsia="Arial" w:cs="Arial"/>
          <w:b/>
          <w:bCs/>
          <w:szCs w:val="20"/>
        </w:rPr>
        <w:t>Transformar para crecer</w:t>
      </w:r>
      <w:r w:rsidR="004D699C" w:rsidRPr="00382A62">
        <w:rPr>
          <w:rFonts w:eastAsia="Arial" w:cs="Arial"/>
          <w:b/>
          <w:bCs/>
          <w:szCs w:val="20"/>
        </w:rPr>
        <w:t>:</w:t>
      </w:r>
      <w:r w:rsidR="004D699C" w:rsidRPr="00382A62">
        <w:rPr>
          <w:rFonts w:eastAsia="Arial" w:cs="Arial"/>
          <w:szCs w:val="20"/>
        </w:rPr>
        <w:t xml:space="preserve"> </w:t>
      </w:r>
      <w:r w:rsidR="00936884" w:rsidRPr="00382A62">
        <w:rPr>
          <w:rFonts w:eastAsia="Arial" w:cs="Arial"/>
          <w:szCs w:val="20"/>
        </w:rPr>
        <w:t>E</w:t>
      </w:r>
      <w:r w:rsidR="004D699C" w:rsidRPr="00382A62">
        <w:rPr>
          <w:rFonts w:eastAsia="Arial" w:cs="Arial"/>
          <w:szCs w:val="20"/>
        </w:rPr>
        <w:t xml:space="preserve">l año 2023 evidencia una evolución positiva hacia un negocio mucho más apalancado en la tecnología, la digitalización y el aprovechamiento de los datos. Muestra de esto, el año 2023 se convierte en año récord en la adopción de plataformas de venta digitales y asistidas, las cuales representan un 70% de las ventas en Costa Rica. Esta adopción acelerada por parte de los clientes se traduce en una mayor eficiencia operativa, procesos comerciales estandarizados, más ágiles y eficientes. Este acompañamiento consultivo a nuestros clientes y socios comerciales se refleja en una mejora del </w:t>
      </w:r>
      <w:r w:rsidR="004D699C" w:rsidRPr="00382A62">
        <w:rPr>
          <w:rFonts w:eastAsia="Arial" w:cs="Arial"/>
          <w:szCs w:val="20"/>
        </w:rPr>
        <w:lastRenderedPageBreak/>
        <w:t>12% contra año anterior en el índice de evaluación del servicio comercial en Costa Rica, el “Net Promoter Score”, medida utilizada en la industria.</w:t>
      </w:r>
    </w:p>
    <w:p w14:paraId="1EF78036" w14:textId="77777777" w:rsidR="00CD13AA" w:rsidRPr="00382A62" w:rsidRDefault="00F97C64" w:rsidP="006E2CB0">
      <w:pPr>
        <w:ind w:left="708"/>
        <w:rPr>
          <w:rFonts w:eastAsia="Arial" w:cs="Arial"/>
          <w:szCs w:val="20"/>
        </w:rPr>
      </w:pPr>
      <w:r w:rsidRPr="00382A62">
        <w:rPr>
          <w:rFonts w:eastAsia="Arial" w:cs="Arial"/>
          <w:szCs w:val="20"/>
        </w:rPr>
        <w:t xml:space="preserve">3. </w:t>
      </w:r>
      <w:r w:rsidRPr="00382A62">
        <w:rPr>
          <w:rFonts w:eastAsia="Arial" w:cs="Arial"/>
          <w:b/>
          <w:bCs/>
          <w:szCs w:val="20"/>
        </w:rPr>
        <w:t>Liderazgo holístico</w:t>
      </w:r>
      <w:r w:rsidR="00D21D39" w:rsidRPr="00382A62">
        <w:rPr>
          <w:rFonts w:eastAsia="Arial" w:cs="Arial"/>
          <w:b/>
          <w:bCs/>
          <w:szCs w:val="20"/>
        </w:rPr>
        <w:t xml:space="preserve">: </w:t>
      </w:r>
      <w:r w:rsidR="00D21D39" w:rsidRPr="00382A62">
        <w:rPr>
          <w:rFonts w:eastAsia="Arial" w:cs="Arial"/>
          <w:szCs w:val="20"/>
        </w:rPr>
        <w:t>Hace referencia al compromiso de FIFCO con la creación de valor, siguiendo una</w:t>
      </w:r>
      <w:r w:rsidR="00263316" w:rsidRPr="00382A62">
        <w:rPr>
          <w:rFonts w:cs="Arial"/>
          <w:szCs w:val="20"/>
        </w:rPr>
        <w:t xml:space="preserve"> </w:t>
      </w:r>
      <w:r w:rsidR="00263316" w:rsidRPr="00382A62">
        <w:rPr>
          <w:rFonts w:eastAsia="Arial" w:cs="Arial"/>
          <w:szCs w:val="20"/>
        </w:rPr>
        <w:t>estrategia de triple utilidad, apuntando a cumplir criterios ambientales, sociales y de gobernanza como una forma de gestionar el riesgo y fortalecer la operación, garantizando la sostenibilidad y la permanencia exitosa de la compañía a través del tiempo.</w:t>
      </w:r>
      <w:r w:rsidR="00CD13AA" w:rsidRPr="00382A62">
        <w:rPr>
          <w:rFonts w:eastAsia="Arial" w:cs="Arial"/>
          <w:szCs w:val="20"/>
        </w:rPr>
        <w:t xml:space="preserve"> </w:t>
      </w:r>
    </w:p>
    <w:p w14:paraId="746D7BEE" w14:textId="77777777" w:rsidR="00164F08" w:rsidRPr="00382A62" w:rsidRDefault="00CD13AA" w:rsidP="006E2CB0">
      <w:pPr>
        <w:ind w:left="708"/>
        <w:rPr>
          <w:rFonts w:cs="Arial"/>
          <w:szCs w:val="20"/>
        </w:rPr>
      </w:pPr>
      <w:r w:rsidRPr="00382A62">
        <w:rPr>
          <w:rFonts w:eastAsia="Arial" w:cs="Arial"/>
          <w:szCs w:val="20"/>
        </w:rPr>
        <w:t>Fiel a su compromiso ambiental, FIFCO mantuvo sus principales operaciones agua positiva, carbono positivo y cero desechos sólidos. Como parte de la agenda Plástico 360°, destaca una mejora significativa en los niveles de recuperación de plástico, logrando un 120% de recuperación posconsumo.</w:t>
      </w:r>
      <w:r w:rsidR="00164F08" w:rsidRPr="00382A62">
        <w:rPr>
          <w:rFonts w:cs="Arial"/>
          <w:szCs w:val="20"/>
        </w:rPr>
        <w:t xml:space="preserve"> </w:t>
      </w:r>
    </w:p>
    <w:p w14:paraId="5E3C0E33" w14:textId="3781FE44" w:rsidR="00F97C64" w:rsidRPr="00382A62" w:rsidRDefault="00164F08" w:rsidP="006E2CB0">
      <w:pPr>
        <w:ind w:left="708"/>
        <w:rPr>
          <w:rFonts w:eastAsia="Arial" w:cs="Arial"/>
          <w:szCs w:val="20"/>
        </w:rPr>
      </w:pPr>
      <w:r w:rsidRPr="00382A62">
        <w:rPr>
          <w:rFonts w:eastAsia="Arial" w:cs="Arial"/>
          <w:szCs w:val="20"/>
        </w:rPr>
        <w:t>En materia social, la compañía continúa liderando la educación en Consumo Inteligente de alcohol y da pasos importantes en su evolución hacia un portafolio de bebidas y alimentos más balanceado en cuanto a niveles de azúcar, grasa y sodio.</w:t>
      </w:r>
      <w:r w:rsidR="00911570" w:rsidRPr="00382A62">
        <w:rPr>
          <w:rFonts w:cs="Arial"/>
          <w:szCs w:val="20"/>
        </w:rPr>
        <w:t xml:space="preserve"> </w:t>
      </w:r>
      <w:r w:rsidR="00911570" w:rsidRPr="00382A62">
        <w:rPr>
          <w:rFonts w:eastAsia="Arial" w:cs="Arial"/>
          <w:szCs w:val="20"/>
        </w:rPr>
        <w:t>Un 37% de participación femenina en puestos de liderazgo, la atención de la pobreza multidimensional a lo interno de la compañía, una mayor oferta en programas de formación dual y la agenda fortalecida de voluntariado “Elegí Ayudar” demuestran el compromiso de FIFCO con la promoción de la prosperidad en las geografías en las que operamos.</w:t>
      </w:r>
    </w:p>
    <w:p w14:paraId="0E15F723" w14:textId="55BF3C6C" w:rsidR="003306F6" w:rsidRPr="00382A62" w:rsidRDefault="003306F6" w:rsidP="006E2CB0">
      <w:pPr>
        <w:ind w:left="708"/>
        <w:rPr>
          <w:rFonts w:eastAsia="Arial" w:cs="Arial"/>
          <w:szCs w:val="20"/>
        </w:rPr>
      </w:pPr>
      <w:r w:rsidRPr="00382A62">
        <w:rPr>
          <w:rFonts w:eastAsia="Arial" w:cs="Arial"/>
          <w:szCs w:val="20"/>
        </w:rPr>
        <w:t>En relación con el Gobierno Corporativo y los estándares de buena gobernanza, se realizó la evaluación anual de la gestión de la Junta Directiva con apoyo de una firma especializada e independiente. El resultado fue un 99% de calificación global, indicando que el desempeño de la Junta Directiva supera los estándares y está alcanzando las mejores prácticas a nivel de regulación local y de la literatura especializada a nivel global.</w:t>
      </w:r>
    </w:p>
    <w:p w14:paraId="2F6EA012" w14:textId="665CAF23" w:rsidR="00DE7E5C" w:rsidRPr="00382A62" w:rsidRDefault="00DE7E5C" w:rsidP="00DE7E5C">
      <w:pPr>
        <w:rPr>
          <w:rFonts w:eastAsia="Arial" w:cs="Arial"/>
          <w:szCs w:val="20"/>
        </w:rPr>
      </w:pPr>
      <w:r w:rsidRPr="00382A62">
        <w:rPr>
          <w:rFonts w:eastAsia="Arial" w:cs="Arial"/>
          <w:szCs w:val="20"/>
        </w:rPr>
        <w:t>Esta visión renovada es acompañada por una estrategia clara y detallada, la cual define una aspiración al año 2027: “Ser una de las compañías de más rápido crecimiento en la región con un margen de EBITDA superior al 20%”. Esta aspiración es sustentada por una definición de en cuáles geografías jugar y cómo ganar, identificando, a su vez, las capacidades por fortalecer en los próximos años.</w:t>
      </w:r>
    </w:p>
    <w:p w14:paraId="0F58DFF4" w14:textId="15EA5E4D" w:rsidR="00CD13AA" w:rsidRPr="00382A62" w:rsidRDefault="00DE7E5C" w:rsidP="006E2CB0">
      <w:pPr>
        <w:rPr>
          <w:rFonts w:eastAsia="Arial" w:cs="Arial"/>
          <w:szCs w:val="20"/>
        </w:rPr>
      </w:pPr>
      <w:r w:rsidRPr="00382A62">
        <w:rPr>
          <w:rFonts w:eastAsia="Arial" w:cs="Arial"/>
          <w:szCs w:val="20"/>
        </w:rPr>
        <w:t xml:space="preserve">El contar con una visión y ruta para los próximos 5 años nos alinea en una misma dirección, facilitando la toma de decisiones a corto, </w:t>
      </w:r>
      <w:r w:rsidR="006E2CB0" w:rsidRPr="00382A62">
        <w:rPr>
          <w:rFonts w:eastAsia="Arial" w:cs="Arial"/>
          <w:szCs w:val="20"/>
        </w:rPr>
        <w:t>mediano largo plazo, y nos permite anticipar y adaptarnos a los cambios propios del mercado y nuestro entorno, habilitando una optimización de recursos al tener visibilidad de las necesidades futuras.</w:t>
      </w:r>
    </w:p>
    <w:p w14:paraId="4A030EDB" w14:textId="390A15C2" w:rsidR="00F97C64" w:rsidRPr="00382A62" w:rsidRDefault="00F97C64" w:rsidP="00F97C64">
      <w:pPr>
        <w:ind w:left="708"/>
        <w:jc w:val="left"/>
        <w:rPr>
          <w:rFonts w:eastAsia="Arial" w:cs="Arial"/>
          <w:szCs w:val="20"/>
        </w:rPr>
      </w:pPr>
      <w:r w:rsidRPr="00382A62">
        <w:rPr>
          <w:rFonts w:eastAsia="Arial" w:cs="Arial"/>
          <w:szCs w:val="20"/>
        </w:rPr>
        <w:tab/>
      </w:r>
    </w:p>
    <w:p w14:paraId="2F055522" w14:textId="77777777" w:rsidR="007605E6" w:rsidRPr="00382A62" w:rsidRDefault="007605E6" w:rsidP="00147CF2">
      <w:pPr>
        <w:pStyle w:val="Ttulo3"/>
        <w:numPr>
          <w:ilvl w:val="1"/>
          <w:numId w:val="28"/>
        </w:numPr>
        <w:rPr>
          <w:rFonts w:cs="Arial"/>
          <w:sz w:val="20"/>
          <w:szCs w:val="20"/>
        </w:rPr>
      </w:pPr>
      <w:bookmarkStart w:id="161" w:name="_Toc131092892"/>
      <w:bookmarkStart w:id="162" w:name="_Toc131501093"/>
      <w:bookmarkStart w:id="163" w:name="_Toc169624651"/>
      <w:r w:rsidRPr="00382A62">
        <w:rPr>
          <w:rFonts w:cs="Arial"/>
          <w:sz w:val="20"/>
          <w:szCs w:val="20"/>
        </w:rPr>
        <w:t>Florida Bebidas y Alimentos</w:t>
      </w:r>
      <w:bookmarkEnd w:id="161"/>
      <w:bookmarkEnd w:id="162"/>
      <w:bookmarkEnd w:id="163"/>
    </w:p>
    <w:p w14:paraId="604D9248" w14:textId="38D6EAF2" w:rsidR="007605E6" w:rsidRPr="00382A62" w:rsidRDefault="00D849C3" w:rsidP="00470549">
      <w:pPr>
        <w:rPr>
          <w:rFonts w:eastAsia="Arial" w:cs="Arial"/>
          <w:szCs w:val="20"/>
        </w:rPr>
      </w:pPr>
      <w:r w:rsidRPr="00382A62">
        <w:rPr>
          <w:rFonts w:eastAsia="Arial" w:cs="Arial"/>
          <w:szCs w:val="20"/>
        </w:rPr>
        <w:t>Luego de un cuidadoso proceso de revisión del contexto, de las tendencias mundiales y un entendimiento profundo de las geografías y categorías en las que opera FIFCO, se actualiza la visión de la compañía para los próximos 5 años: “Ser una empresa de bebidas y alimentos centrada en el consumidor, que traza camino en la triple utilidad, desafiando fronteras a través de marcas altamente valoradas que inspiran a todos a saborear la vida.”</w:t>
      </w:r>
      <w:r w:rsidR="00936884" w:rsidRPr="00382A62">
        <w:rPr>
          <w:rFonts w:eastAsia="Arial" w:cs="Arial"/>
          <w:szCs w:val="20"/>
        </w:rPr>
        <w:t xml:space="preserve"> El contar </w:t>
      </w:r>
      <w:r w:rsidR="00936884" w:rsidRPr="00382A62">
        <w:rPr>
          <w:rFonts w:eastAsia="Arial" w:cs="Arial"/>
          <w:szCs w:val="20"/>
        </w:rPr>
        <w:lastRenderedPageBreak/>
        <w:t>con una visión y ruta para los próximos 5 años nos alinea en una misma dirección, facilitando la toma de decisiones a corto, mediano</w:t>
      </w:r>
      <w:r w:rsidR="00470549" w:rsidRPr="00382A62">
        <w:rPr>
          <w:rFonts w:cs="Arial"/>
          <w:szCs w:val="20"/>
        </w:rPr>
        <w:t xml:space="preserve"> </w:t>
      </w:r>
      <w:r w:rsidR="00470549" w:rsidRPr="00382A62">
        <w:rPr>
          <w:rFonts w:eastAsia="Arial" w:cs="Arial"/>
          <w:szCs w:val="20"/>
        </w:rPr>
        <w:t>y largo plazo, y nos permite anticipar y adaptarnos a los cambios propios del</w:t>
      </w:r>
      <w:r w:rsidR="00657ACA" w:rsidRPr="00382A62">
        <w:rPr>
          <w:rFonts w:eastAsia="Arial" w:cs="Arial"/>
          <w:szCs w:val="20"/>
        </w:rPr>
        <w:t xml:space="preserve"> </w:t>
      </w:r>
      <w:r w:rsidR="00470549" w:rsidRPr="00382A62">
        <w:rPr>
          <w:rFonts w:eastAsia="Arial" w:cs="Arial"/>
          <w:szCs w:val="20"/>
        </w:rPr>
        <w:t>mercado y nuestro entorno, habilitando</w:t>
      </w:r>
      <w:r w:rsidR="00657ACA" w:rsidRPr="00382A62">
        <w:rPr>
          <w:rFonts w:eastAsia="Arial" w:cs="Arial"/>
          <w:szCs w:val="20"/>
        </w:rPr>
        <w:t xml:space="preserve"> </w:t>
      </w:r>
      <w:r w:rsidR="00470549" w:rsidRPr="00382A62">
        <w:rPr>
          <w:rFonts w:eastAsia="Arial" w:cs="Arial"/>
          <w:szCs w:val="20"/>
        </w:rPr>
        <w:t>una optimización de recursos al tener</w:t>
      </w:r>
      <w:r w:rsidR="00657ACA" w:rsidRPr="00382A62">
        <w:rPr>
          <w:rFonts w:eastAsia="Arial" w:cs="Arial"/>
          <w:szCs w:val="20"/>
        </w:rPr>
        <w:t xml:space="preserve"> </w:t>
      </w:r>
      <w:r w:rsidR="00470549" w:rsidRPr="00382A62">
        <w:rPr>
          <w:rFonts w:eastAsia="Arial" w:cs="Arial"/>
          <w:szCs w:val="20"/>
        </w:rPr>
        <w:t>visibilidad de las necesidades futuras</w:t>
      </w:r>
      <w:r w:rsidR="00000BE3" w:rsidRPr="00382A62">
        <w:rPr>
          <w:rFonts w:eastAsia="Arial" w:cs="Arial"/>
          <w:szCs w:val="20"/>
        </w:rPr>
        <w:t>.</w:t>
      </w:r>
    </w:p>
    <w:p w14:paraId="478140B8" w14:textId="77777777" w:rsidR="007605E6" w:rsidRPr="00382A62" w:rsidRDefault="007605E6" w:rsidP="00147CF2">
      <w:pPr>
        <w:pStyle w:val="Prrafodelista"/>
        <w:numPr>
          <w:ilvl w:val="0"/>
          <w:numId w:val="29"/>
        </w:numPr>
        <w:rPr>
          <w:rFonts w:eastAsia="Arial" w:cs="Arial"/>
          <w:b/>
          <w:szCs w:val="20"/>
        </w:rPr>
      </w:pPr>
      <w:r w:rsidRPr="00382A62">
        <w:rPr>
          <w:rFonts w:eastAsia="Arial" w:cs="Arial"/>
          <w:b/>
          <w:szCs w:val="20"/>
        </w:rPr>
        <w:t>Cerveza y Bebidas Alcohólicas Saborizadas (BAS)</w:t>
      </w:r>
    </w:p>
    <w:p w14:paraId="449CA989" w14:textId="3296A643" w:rsidR="007605E6" w:rsidRPr="00382A62" w:rsidRDefault="007605E6" w:rsidP="007605E6">
      <w:pPr>
        <w:rPr>
          <w:rFonts w:cs="Arial"/>
          <w:szCs w:val="20"/>
        </w:rPr>
      </w:pPr>
      <w:r w:rsidRPr="00382A62">
        <w:rPr>
          <w:rFonts w:cs="Arial"/>
          <w:szCs w:val="20"/>
        </w:rPr>
        <w:t>Durante el año 202</w:t>
      </w:r>
      <w:r w:rsidR="00502A88" w:rsidRPr="00382A62">
        <w:rPr>
          <w:rFonts w:cs="Arial"/>
          <w:szCs w:val="20"/>
        </w:rPr>
        <w:t>3</w:t>
      </w:r>
      <w:r w:rsidRPr="00382A62">
        <w:rPr>
          <w:rFonts w:cs="Arial"/>
          <w:szCs w:val="20"/>
        </w:rPr>
        <w:t xml:space="preserve"> se logró conectar con los consumidores gracias a propuestas de valor renovadas, la creación de experiencias, el fortalecimiento de marcas con propósito y el impulso a nuevos canales y mayor digitalización.  </w:t>
      </w:r>
    </w:p>
    <w:p w14:paraId="4920CCAD" w14:textId="3AF2EAE7" w:rsidR="007605E6" w:rsidRPr="00382A62" w:rsidRDefault="007605E6" w:rsidP="007605E6">
      <w:pPr>
        <w:pStyle w:val="Descripcin"/>
        <w:rPr>
          <w:rFonts w:cs="Arial"/>
          <w:szCs w:val="20"/>
        </w:rPr>
      </w:pPr>
      <w:bookmarkStart w:id="164" w:name="_Toc169624733"/>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37</w:t>
      </w:r>
      <w:r w:rsidR="00423C23" w:rsidRPr="00382A62">
        <w:rPr>
          <w:rFonts w:cs="Arial"/>
          <w:noProof/>
          <w:szCs w:val="20"/>
        </w:rPr>
        <w:fldChar w:fldCharType="end"/>
      </w:r>
      <w:r w:rsidRPr="00382A62">
        <w:rPr>
          <w:rFonts w:cs="Arial"/>
          <w:szCs w:val="20"/>
        </w:rPr>
        <w:t xml:space="preserve"> - Principales hitos de categoría cerveza y BAS</w:t>
      </w:r>
      <w:bookmarkEnd w:id="164"/>
    </w:p>
    <w:tbl>
      <w:tblPr>
        <w:tblW w:w="9760" w:type="dxa"/>
        <w:jc w:val="center"/>
        <w:tblCellMar>
          <w:left w:w="0" w:type="dxa"/>
          <w:right w:w="0" w:type="dxa"/>
        </w:tblCellMar>
        <w:tblLook w:val="04A0" w:firstRow="1" w:lastRow="0" w:firstColumn="1" w:lastColumn="0" w:noHBand="0" w:noVBand="1"/>
      </w:tblPr>
      <w:tblGrid>
        <w:gridCol w:w="2198"/>
        <w:gridCol w:w="7562"/>
      </w:tblGrid>
      <w:tr w:rsidR="007605E6" w:rsidRPr="00382A62" w14:paraId="6CB45D12" w14:textId="77777777" w:rsidTr="004C18D1">
        <w:trPr>
          <w:cantSplit/>
          <w:trHeight w:val="1244"/>
          <w:jc w:val="center"/>
        </w:trPr>
        <w:tc>
          <w:tcPr>
            <w:tcW w:w="21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0A58F5DF" w14:textId="77777777" w:rsidR="007605E6" w:rsidRPr="00382A62" w:rsidRDefault="007605E6" w:rsidP="007D00B2">
            <w:pPr>
              <w:spacing w:after="0"/>
              <w:jc w:val="left"/>
              <w:rPr>
                <w:rFonts w:cs="Arial"/>
                <w:b/>
                <w:bCs/>
                <w:szCs w:val="20"/>
              </w:rPr>
            </w:pPr>
            <w:r w:rsidRPr="00382A62">
              <w:rPr>
                <w:rFonts w:cs="Arial"/>
                <w:b/>
                <w:bCs/>
                <w:szCs w:val="20"/>
              </w:rPr>
              <w:t>Imperial:</w:t>
            </w:r>
          </w:p>
        </w:tc>
        <w:tc>
          <w:tcPr>
            <w:tcW w:w="7562"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11DD2A81" w14:textId="7ACAAD07" w:rsidR="007605E6" w:rsidRPr="00382A62" w:rsidRDefault="00103D84" w:rsidP="0099549C">
            <w:pPr>
              <w:spacing w:after="0"/>
              <w:rPr>
                <w:rFonts w:eastAsia="Arial" w:cs="Arial"/>
                <w:szCs w:val="20"/>
              </w:rPr>
            </w:pPr>
            <w:r w:rsidRPr="00382A62">
              <w:rPr>
                <w:rFonts w:eastAsia="Arial" w:cs="Arial"/>
                <w:szCs w:val="20"/>
              </w:rPr>
              <w:t>El año 2023 marcó un capítulo excepcional en la historia de Imperial, la cerveza más destacada de Costa Rica. La campaña “Autenticos” reinterpretó la autenticidad, tejiendo la marca en las experiencias cotidianas del costarricense y fomentando un orgullo nacional renovado, impulsó a los ticos a descubrir su mejor versión y explotarla al máximo.</w:t>
            </w:r>
            <w:r w:rsidR="00AA6509" w:rsidRPr="00382A62">
              <w:rPr>
                <w:rFonts w:cs="Arial"/>
                <w:szCs w:val="20"/>
              </w:rPr>
              <w:t xml:space="preserve"> </w:t>
            </w:r>
            <w:r w:rsidR="00AA6509" w:rsidRPr="00382A62">
              <w:rPr>
                <w:rFonts w:eastAsia="Arial" w:cs="Arial"/>
                <w:szCs w:val="20"/>
              </w:rPr>
              <w:t>La marca vivió el valor del disfrute con los consumidores, colocando el producto en el centro, en la campaña</w:t>
            </w:r>
            <w:r w:rsidR="006C1A5B" w:rsidRPr="00382A62">
              <w:rPr>
                <w:rFonts w:eastAsia="Arial" w:cs="Arial"/>
                <w:szCs w:val="20"/>
              </w:rPr>
              <w:t xml:space="preserve"> Jala Birras”, el primer concurso cervecero de este año, que le regaló a los participantes todas las cajas de birras que pudieran jalar en 5 minutos. </w:t>
            </w:r>
            <w:r w:rsidR="00F13F65" w:rsidRPr="00382A62">
              <w:rPr>
                <w:rFonts w:eastAsia="Arial" w:cs="Arial"/>
                <w:szCs w:val="20"/>
              </w:rPr>
              <w:t>Las redes sociales y</w:t>
            </w:r>
            <w:r w:rsidR="0099549C">
              <w:rPr>
                <w:rFonts w:eastAsia="Arial" w:cs="Arial"/>
                <w:szCs w:val="20"/>
              </w:rPr>
              <w:t xml:space="preserve"> </w:t>
            </w:r>
            <w:r w:rsidR="00F13F65" w:rsidRPr="00382A62">
              <w:rPr>
                <w:rFonts w:eastAsia="Arial" w:cs="Arial"/>
                <w:szCs w:val="20"/>
              </w:rPr>
              <w:t>los resultados excepcionales de la campaña demostraron una vez más</w:t>
            </w:r>
            <w:r w:rsidR="00516263" w:rsidRPr="00382A62">
              <w:rPr>
                <w:rFonts w:eastAsia="Arial" w:cs="Arial"/>
                <w:szCs w:val="20"/>
              </w:rPr>
              <w:t xml:space="preserve"> </w:t>
            </w:r>
            <w:r w:rsidR="00F13F65" w:rsidRPr="00382A62">
              <w:rPr>
                <w:rFonts w:eastAsia="Arial" w:cs="Arial"/>
                <w:szCs w:val="20"/>
              </w:rPr>
              <w:t>por qué Imperial es la cerveza favorita</w:t>
            </w:r>
            <w:r w:rsidR="00516263" w:rsidRPr="00382A62">
              <w:rPr>
                <w:rFonts w:eastAsia="Arial" w:cs="Arial"/>
                <w:szCs w:val="20"/>
              </w:rPr>
              <w:t xml:space="preserve"> </w:t>
            </w:r>
            <w:r w:rsidR="00F13F65" w:rsidRPr="00382A62">
              <w:rPr>
                <w:rFonts w:eastAsia="Arial" w:cs="Arial"/>
                <w:szCs w:val="20"/>
              </w:rPr>
              <w:t>de los ticos.</w:t>
            </w:r>
            <w:r w:rsidR="005964EA" w:rsidRPr="00382A62">
              <w:rPr>
                <w:rFonts w:cs="Arial"/>
                <w:szCs w:val="20"/>
              </w:rPr>
              <w:t xml:space="preserve"> </w:t>
            </w:r>
            <w:r w:rsidR="005964EA" w:rsidRPr="00382A62">
              <w:rPr>
                <w:rFonts w:eastAsia="Arial" w:cs="Arial"/>
                <w:szCs w:val="20"/>
              </w:rPr>
              <w:t>El año cerró con la campaña “Frescura”, creada para posicionar la ventaja competitiva única en el mercado. Imperial es la cerveza más fresca del país, garantizando que cada vez que se tomen una Imperial, están tomando una cerveza que mantiene la plenitud de su sabor y aroma.</w:t>
            </w:r>
            <w:r w:rsidR="00087909" w:rsidRPr="00382A62">
              <w:rPr>
                <w:rFonts w:cs="Arial"/>
                <w:szCs w:val="20"/>
              </w:rPr>
              <w:t xml:space="preserve"> </w:t>
            </w:r>
            <w:r w:rsidR="00087909" w:rsidRPr="00382A62">
              <w:rPr>
                <w:rFonts w:eastAsia="Arial" w:cs="Arial"/>
                <w:szCs w:val="20"/>
              </w:rPr>
              <w:t>Finalmente, a lo largo del año Imperial sumó un total de 35 premios en festivales de publicidad y creatividad.</w:t>
            </w:r>
            <w:r w:rsidR="00387BC4" w:rsidRPr="00382A62">
              <w:rPr>
                <w:rFonts w:eastAsia="Arial" w:cs="Arial"/>
                <w:szCs w:val="20"/>
              </w:rPr>
              <w:t xml:space="preserve"> Imperial se posicionó como la marca costarricense más premiada del 2023.</w:t>
            </w:r>
          </w:p>
        </w:tc>
      </w:tr>
      <w:tr w:rsidR="007605E6" w:rsidRPr="00382A62" w14:paraId="6201F9FD" w14:textId="77777777" w:rsidTr="004C18D1">
        <w:trPr>
          <w:cantSplit/>
          <w:trHeight w:val="993"/>
          <w:jc w:val="center"/>
        </w:trPr>
        <w:tc>
          <w:tcPr>
            <w:tcW w:w="2198"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5E635CF2" w14:textId="77777777" w:rsidR="007605E6" w:rsidRPr="00382A62" w:rsidRDefault="007605E6" w:rsidP="007D00B2">
            <w:pPr>
              <w:spacing w:after="0"/>
              <w:jc w:val="left"/>
              <w:rPr>
                <w:rFonts w:cs="Arial"/>
                <w:b/>
                <w:bCs/>
                <w:szCs w:val="20"/>
              </w:rPr>
            </w:pPr>
            <w:r w:rsidRPr="00382A62">
              <w:rPr>
                <w:rFonts w:cs="Arial"/>
                <w:b/>
                <w:bCs/>
                <w:color w:val="000000"/>
                <w:szCs w:val="20"/>
              </w:rPr>
              <w:t>Heineken:</w:t>
            </w:r>
          </w:p>
        </w:tc>
        <w:tc>
          <w:tcPr>
            <w:tcW w:w="756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tcPr>
          <w:p w14:paraId="4D520F13" w14:textId="2E7DE014" w:rsidR="00B02262" w:rsidRPr="00382A62" w:rsidRDefault="00C859D7" w:rsidP="0099549C">
            <w:pPr>
              <w:spacing w:after="0"/>
              <w:rPr>
                <w:rFonts w:cs="Arial"/>
                <w:szCs w:val="20"/>
              </w:rPr>
            </w:pPr>
            <w:r w:rsidRPr="00382A62">
              <w:rPr>
                <w:rFonts w:cs="Arial"/>
                <w:szCs w:val="20"/>
              </w:rPr>
              <w:t>El año 2023 estuvo cargado de actividades para Heineken</w:t>
            </w:r>
            <w:r w:rsidR="00F54286" w:rsidRPr="00382A62">
              <w:rPr>
                <w:rFonts w:cs="Arial"/>
                <w:szCs w:val="20"/>
              </w:rPr>
              <w:t xml:space="preserve">, </w:t>
            </w:r>
            <w:r w:rsidR="009238FB" w:rsidRPr="00382A62">
              <w:rPr>
                <w:rFonts w:cs="Arial"/>
                <w:szCs w:val="20"/>
              </w:rPr>
              <w:t xml:space="preserve">dando la bienvenida al año con </w:t>
            </w:r>
            <w:r w:rsidR="00671AAA" w:rsidRPr="00382A62">
              <w:rPr>
                <w:rFonts w:cs="Arial"/>
                <w:szCs w:val="20"/>
              </w:rPr>
              <w:t xml:space="preserve">el </w:t>
            </w:r>
            <w:r w:rsidR="009238FB" w:rsidRPr="00382A62">
              <w:rPr>
                <w:rFonts w:cs="Arial"/>
                <w:szCs w:val="20"/>
              </w:rPr>
              <w:t>verano para los días soleados y nuestro Green Bardon de lo natural y la música se encontraron.</w:t>
            </w:r>
            <w:r w:rsidR="00F54286" w:rsidRPr="00382A62">
              <w:rPr>
                <w:rFonts w:cs="Arial"/>
                <w:szCs w:val="20"/>
              </w:rPr>
              <w:t xml:space="preserve"> </w:t>
            </w:r>
            <w:r w:rsidR="000356D8" w:rsidRPr="00382A62">
              <w:rPr>
                <w:rFonts w:cs="Arial"/>
                <w:szCs w:val="20"/>
              </w:rPr>
              <w:t>Las Green Nights se convirtieron en las estrellas de la noche, con alta energía, activando los principales bares de la Gran Área Metropolitana.</w:t>
            </w:r>
            <w:r w:rsidR="004834AE" w:rsidRPr="00382A62">
              <w:rPr>
                <w:rFonts w:cs="Arial"/>
                <w:szCs w:val="20"/>
              </w:rPr>
              <w:t xml:space="preserve"> Champions Town, este evento nuevamente fue un éxito, convocando a más de 2.000 personas en Pedregal para vivir la pasión del fútbol.</w:t>
            </w:r>
            <w:r w:rsidR="00D6581D" w:rsidRPr="00382A62">
              <w:rPr>
                <w:rFonts w:cs="Arial"/>
                <w:szCs w:val="20"/>
              </w:rPr>
              <w:t xml:space="preserve"> En septiembre se lanzó Heineken 0.0, bebida a base de malta con 0.0% de alcohol, con menos</w:t>
            </w:r>
            <w:r w:rsidR="0099549C">
              <w:rPr>
                <w:rFonts w:cs="Arial"/>
                <w:szCs w:val="20"/>
              </w:rPr>
              <w:t xml:space="preserve"> </w:t>
            </w:r>
            <w:r w:rsidR="00D6581D" w:rsidRPr="00382A62">
              <w:rPr>
                <w:rFonts w:cs="Arial"/>
                <w:szCs w:val="20"/>
              </w:rPr>
              <w:t>calorías que otras y un aporte en minerales, vitaminas y antioxidantes, ofreciéndole al fiel consumidor nuevas ocasiones de consumo.</w:t>
            </w:r>
            <w:r w:rsidR="008E4546" w:rsidRPr="00382A62">
              <w:rPr>
                <w:rFonts w:cs="Arial"/>
                <w:szCs w:val="20"/>
              </w:rPr>
              <w:t xml:space="preserve"> Se realizó una gira de sampling</w:t>
            </w:r>
            <w:r w:rsidR="0099549C">
              <w:rPr>
                <w:rFonts w:cs="Arial"/>
                <w:szCs w:val="20"/>
              </w:rPr>
              <w:t xml:space="preserve"> </w:t>
            </w:r>
            <w:r w:rsidR="008E4546" w:rsidRPr="00382A62">
              <w:rPr>
                <w:rFonts w:cs="Arial"/>
                <w:szCs w:val="20"/>
              </w:rPr>
              <w:t>donde se entregó en GAM más de 20.000 latas al consumidor.</w:t>
            </w:r>
            <w:r w:rsidR="00B02262" w:rsidRPr="00382A62">
              <w:rPr>
                <w:rFonts w:cs="Arial"/>
                <w:szCs w:val="20"/>
              </w:rPr>
              <w:t xml:space="preserve"> Se celebró el 150</w:t>
            </w:r>
            <w:r w:rsidR="0099549C">
              <w:rPr>
                <w:rFonts w:cs="Arial"/>
                <w:szCs w:val="20"/>
              </w:rPr>
              <w:t xml:space="preserve"> </w:t>
            </w:r>
            <w:r w:rsidR="00B02262" w:rsidRPr="00382A62">
              <w:rPr>
                <w:rFonts w:cs="Arial"/>
                <w:szCs w:val="20"/>
              </w:rPr>
              <w:t>aniversario de una manera diferente: con una lata y una botella edición especial por</w:t>
            </w:r>
          </w:p>
          <w:p w14:paraId="24F18EDA" w14:textId="375C92C2" w:rsidR="007605E6" w:rsidRPr="00382A62" w:rsidRDefault="00B02262" w:rsidP="0099549C">
            <w:pPr>
              <w:spacing w:after="0"/>
              <w:rPr>
                <w:rFonts w:cs="Arial"/>
                <w:szCs w:val="20"/>
              </w:rPr>
            </w:pPr>
            <w:r w:rsidRPr="00382A62">
              <w:rPr>
                <w:rFonts w:cs="Arial"/>
                <w:szCs w:val="20"/>
              </w:rPr>
              <w:t>tiempo limitado-.</w:t>
            </w:r>
          </w:p>
        </w:tc>
      </w:tr>
      <w:tr w:rsidR="007605E6" w:rsidRPr="00382A62" w14:paraId="4F7A09C8" w14:textId="77777777" w:rsidTr="004C18D1">
        <w:trPr>
          <w:cantSplit/>
          <w:trHeight w:val="993"/>
          <w:jc w:val="center"/>
        </w:trPr>
        <w:tc>
          <w:tcPr>
            <w:tcW w:w="2198"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00E052FA" w14:textId="77777777" w:rsidR="007605E6" w:rsidRPr="00382A62" w:rsidRDefault="007605E6" w:rsidP="007D00B2">
            <w:pPr>
              <w:spacing w:after="0"/>
              <w:jc w:val="left"/>
              <w:rPr>
                <w:rFonts w:cs="Arial"/>
                <w:b/>
                <w:bCs/>
                <w:szCs w:val="20"/>
              </w:rPr>
            </w:pPr>
            <w:r w:rsidRPr="00382A62">
              <w:rPr>
                <w:rFonts w:cs="Arial"/>
                <w:b/>
                <w:bCs/>
                <w:color w:val="000000"/>
                <w:szCs w:val="20"/>
              </w:rPr>
              <w:lastRenderedPageBreak/>
              <w:t>Pilsen:</w:t>
            </w:r>
          </w:p>
        </w:tc>
        <w:tc>
          <w:tcPr>
            <w:tcW w:w="756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6B4BA15B" w14:textId="4286DA72" w:rsidR="007605E6" w:rsidRPr="00382A62" w:rsidRDefault="00A04B04" w:rsidP="00186904">
            <w:pPr>
              <w:spacing w:after="0"/>
              <w:rPr>
                <w:rFonts w:cs="Arial"/>
                <w:szCs w:val="20"/>
              </w:rPr>
            </w:pPr>
            <w:r w:rsidRPr="00382A62">
              <w:rPr>
                <w:rFonts w:eastAsia="Arial" w:cs="Arial"/>
                <w:szCs w:val="20"/>
              </w:rPr>
              <w:t>El verano inició con Parrilleros Pilsen, una campaña que reafirmó el liderazgo de la marca dentro de esta ocasión de consumo, el momento memorable entre compas alrededor de la parrilla</w:t>
            </w:r>
            <w:r w:rsidR="00655776" w:rsidRPr="00382A62">
              <w:rPr>
                <w:rFonts w:eastAsia="Arial" w:cs="Arial"/>
                <w:szCs w:val="20"/>
              </w:rPr>
              <w:t>.</w:t>
            </w:r>
            <w:r w:rsidR="00655776" w:rsidRPr="00382A62">
              <w:rPr>
                <w:rFonts w:cs="Arial"/>
                <w:szCs w:val="20"/>
              </w:rPr>
              <w:t xml:space="preserve"> </w:t>
            </w:r>
            <w:r w:rsidR="00655776" w:rsidRPr="00382A62">
              <w:rPr>
                <w:rFonts w:eastAsia="Arial" w:cs="Arial"/>
                <w:szCs w:val="20"/>
              </w:rPr>
              <w:t>Posteriormente, la marca lanzó Noche de Compas, una plataforma para aumentar la frecuencia de las reuniones entre amigos, acompañado de una cerveza Pilsen.</w:t>
            </w:r>
            <w:r w:rsidR="00A439F3" w:rsidRPr="00382A62">
              <w:rPr>
                <w:rFonts w:cs="Arial"/>
                <w:szCs w:val="20"/>
              </w:rPr>
              <w:t xml:space="preserve"> </w:t>
            </w:r>
            <w:r w:rsidR="00A439F3" w:rsidRPr="00382A62">
              <w:rPr>
                <w:rFonts w:eastAsia="Arial" w:cs="Arial"/>
                <w:szCs w:val="20"/>
              </w:rPr>
              <w:t>En agosto del 2023, Pilsen reveló la clave de su sabor único,</w:t>
            </w:r>
            <w:r w:rsidR="00A439F3" w:rsidRPr="00382A62">
              <w:rPr>
                <w:rFonts w:cs="Arial"/>
                <w:szCs w:val="20"/>
              </w:rPr>
              <w:t xml:space="preserve"> </w:t>
            </w:r>
            <w:r w:rsidR="00A439F3" w:rsidRPr="00382A62">
              <w:rPr>
                <w:rFonts w:eastAsia="Arial" w:cs="Arial"/>
                <w:szCs w:val="20"/>
              </w:rPr>
              <w:t>Además, se desarrolló una tienda temporal en línea con mercadería exclusiva Pilsen.</w:t>
            </w:r>
            <w:r w:rsidR="00186904" w:rsidRPr="00382A62">
              <w:rPr>
                <w:rFonts w:cs="Arial"/>
                <w:szCs w:val="20"/>
              </w:rPr>
              <w:t xml:space="preserve"> </w:t>
            </w:r>
            <w:r w:rsidR="00186904" w:rsidRPr="00382A62">
              <w:rPr>
                <w:rFonts w:eastAsia="Arial" w:cs="Arial"/>
                <w:szCs w:val="20"/>
              </w:rPr>
              <w:t>En 2023 salió al aire la segunda temporada del podcast, titulado “Poder de Compas”, en el que se compartieron inspiradoras historias sobre el poder de la amistad en los momentos más desafiantes que vivimos y se invitó al consumidor a acercarse y ser un apoyo para sus compas.</w:t>
            </w:r>
          </w:p>
        </w:tc>
      </w:tr>
      <w:tr w:rsidR="007605E6" w:rsidRPr="00382A62" w14:paraId="18D5A1F9" w14:textId="77777777" w:rsidTr="004C18D1">
        <w:trPr>
          <w:cantSplit/>
          <w:trHeight w:val="993"/>
          <w:jc w:val="center"/>
        </w:trPr>
        <w:tc>
          <w:tcPr>
            <w:tcW w:w="2198"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17D622E3" w14:textId="77777777" w:rsidR="007605E6" w:rsidRPr="00382A62" w:rsidRDefault="007605E6" w:rsidP="007D00B2">
            <w:pPr>
              <w:spacing w:after="0"/>
              <w:jc w:val="left"/>
              <w:rPr>
                <w:rFonts w:cs="Arial"/>
                <w:b/>
                <w:bCs/>
                <w:szCs w:val="20"/>
              </w:rPr>
            </w:pPr>
            <w:r w:rsidRPr="00382A62">
              <w:rPr>
                <w:rFonts w:cs="Arial"/>
                <w:b/>
                <w:bCs/>
                <w:color w:val="000000"/>
                <w:szCs w:val="20"/>
              </w:rPr>
              <w:t>Bavaria:</w:t>
            </w:r>
          </w:p>
        </w:tc>
        <w:tc>
          <w:tcPr>
            <w:tcW w:w="756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0D052128" w14:textId="45A396B7" w:rsidR="007605E6" w:rsidRPr="00382A62" w:rsidRDefault="00CE59C1" w:rsidP="0099549C">
            <w:pPr>
              <w:spacing w:after="0"/>
              <w:rPr>
                <w:rFonts w:eastAsia="Arial" w:cs="Arial"/>
                <w:szCs w:val="20"/>
              </w:rPr>
            </w:pPr>
            <w:r w:rsidRPr="00382A62">
              <w:rPr>
                <w:rFonts w:eastAsia="Arial" w:cs="Arial"/>
                <w:szCs w:val="20"/>
              </w:rPr>
              <w:t>el 2023 Bavaria sigue construyendo sobre el territorio de Maestría y Recompensa de una manera más cercana. Comenzó el año apropiándose del verano con Abrí una Bavaria, una</w:t>
            </w:r>
            <w:r w:rsidR="0099549C">
              <w:rPr>
                <w:rFonts w:eastAsia="Arial" w:cs="Arial"/>
                <w:szCs w:val="20"/>
              </w:rPr>
              <w:t xml:space="preserve"> </w:t>
            </w:r>
            <w:r w:rsidRPr="00382A62">
              <w:rPr>
                <w:rFonts w:eastAsia="Arial" w:cs="Arial"/>
                <w:szCs w:val="20"/>
              </w:rPr>
              <w:t>campaña que recompensaba esos pequeños y grandes logros que nos acompañan en el día a día. Se desarrollaron las Tardes Bavaria, una plataforma de experiencia a través de</w:t>
            </w:r>
            <w:r w:rsidR="00BC7575" w:rsidRPr="00382A62">
              <w:rPr>
                <w:rFonts w:eastAsia="Arial" w:cs="Arial"/>
                <w:szCs w:val="20"/>
              </w:rPr>
              <w:t xml:space="preserve"> </w:t>
            </w:r>
            <w:r w:rsidRPr="00382A62">
              <w:rPr>
                <w:rFonts w:eastAsia="Arial" w:cs="Arial"/>
                <w:szCs w:val="20"/>
              </w:rPr>
              <w:t>la cual sus consumidores disfrutaron de las maravillosas tardes de verano en una experiencia única, con buena música, gastronomía y su Bavaria</w:t>
            </w:r>
            <w:r w:rsidR="00BC7575" w:rsidRPr="00382A62">
              <w:rPr>
                <w:rFonts w:eastAsia="Arial" w:cs="Arial"/>
                <w:szCs w:val="20"/>
              </w:rPr>
              <w:t xml:space="preserve"> </w:t>
            </w:r>
            <w:r w:rsidRPr="00382A62">
              <w:rPr>
                <w:rFonts w:eastAsia="Arial" w:cs="Arial"/>
                <w:szCs w:val="20"/>
              </w:rPr>
              <w:t>favorita.</w:t>
            </w:r>
            <w:r w:rsidR="0099549C">
              <w:rPr>
                <w:rFonts w:eastAsia="Arial" w:cs="Arial"/>
                <w:szCs w:val="20"/>
              </w:rPr>
              <w:t xml:space="preserve"> </w:t>
            </w:r>
            <w:r w:rsidRPr="00382A62">
              <w:rPr>
                <w:rFonts w:eastAsia="Arial" w:cs="Arial"/>
                <w:szCs w:val="20"/>
              </w:rPr>
              <w:t>En agosto del 2023, BAVAR.IA, el alma</w:t>
            </w:r>
            <w:r w:rsidR="00BC7575" w:rsidRPr="00382A62">
              <w:rPr>
                <w:rFonts w:eastAsia="Arial" w:cs="Arial"/>
                <w:szCs w:val="20"/>
              </w:rPr>
              <w:t xml:space="preserve"> </w:t>
            </w:r>
            <w:r w:rsidRPr="00382A62">
              <w:rPr>
                <w:rFonts w:eastAsia="Arial" w:cs="Arial"/>
                <w:szCs w:val="20"/>
              </w:rPr>
              <w:t>detrás del algoritmo, fue el primer</w:t>
            </w:r>
            <w:r w:rsidR="00BC7575" w:rsidRPr="00382A62">
              <w:rPr>
                <w:rFonts w:eastAsia="Arial" w:cs="Arial"/>
                <w:szCs w:val="20"/>
              </w:rPr>
              <w:t xml:space="preserve"> </w:t>
            </w:r>
            <w:r w:rsidRPr="00382A62">
              <w:rPr>
                <w:rFonts w:eastAsia="Arial" w:cs="Arial"/>
                <w:szCs w:val="20"/>
              </w:rPr>
              <w:t>concierto que combinó la Inteligencia</w:t>
            </w:r>
            <w:r w:rsidR="00BC7575" w:rsidRPr="00382A62">
              <w:rPr>
                <w:rFonts w:eastAsia="Arial" w:cs="Arial"/>
                <w:szCs w:val="20"/>
              </w:rPr>
              <w:t xml:space="preserve"> </w:t>
            </w:r>
            <w:r w:rsidRPr="00382A62">
              <w:rPr>
                <w:rFonts w:eastAsia="Arial" w:cs="Arial"/>
                <w:szCs w:val="20"/>
              </w:rPr>
              <w:t>Artificial con el talento nacional.</w:t>
            </w:r>
          </w:p>
        </w:tc>
      </w:tr>
      <w:tr w:rsidR="007605E6" w:rsidRPr="00382A62" w14:paraId="701F9B1F" w14:textId="77777777" w:rsidTr="004C18D1">
        <w:trPr>
          <w:cantSplit/>
          <w:trHeight w:val="1244"/>
          <w:jc w:val="center"/>
        </w:trPr>
        <w:tc>
          <w:tcPr>
            <w:tcW w:w="2198"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56B387E6" w14:textId="77777777" w:rsidR="007605E6" w:rsidRPr="00382A62" w:rsidRDefault="007605E6" w:rsidP="007D00B2">
            <w:pPr>
              <w:spacing w:after="0"/>
              <w:jc w:val="left"/>
              <w:rPr>
                <w:rFonts w:cs="Arial"/>
                <w:b/>
                <w:bCs/>
                <w:color w:val="000000" w:themeColor="text1"/>
                <w:szCs w:val="20"/>
              </w:rPr>
            </w:pPr>
            <w:r w:rsidRPr="00382A62">
              <w:rPr>
                <w:rFonts w:cs="Arial"/>
                <w:b/>
                <w:bCs/>
                <w:color w:val="000000" w:themeColor="text1"/>
                <w:szCs w:val="20"/>
              </w:rPr>
              <w:t>Sol y Coors</w:t>
            </w:r>
          </w:p>
        </w:tc>
        <w:tc>
          <w:tcPr>
            <w:tcW w:w="756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40717678" w14:textId="515003D2" w:rsidR="007605E6" w:rsidRPr="00382A62" w:rsidRDefault="001A0F63" w:rsidP="003E1098">
            <w:pPr>
              <w:spacing w:after="0"/>
              <w:rPr>
                <w:rFonts w:cs="Arial"/>
                <w:szCs w:val="20"/>
              </w:rPr>
            </w:pPr>
            <w:r w:rsidRPr="00382A62">
              <w:rPr>
                <w:rFonts w:eastAsia="Arial" w:cs="Arial"/>
                <w:b/>
                <w:bCs/>
                <w:szCs w:val="20"/>
              </w:rPr>
              <w:t xml:space="preserve">En 2023, </w:t>
            </w:r>
            <w:r w:rsidRPr="00382A62">
              <w:rPr>
                <w:rFonts w:eastAsia="Arial" w:cs="Arial"/>
                <w:szCs w:val="20"/>
              </w:rPr>
              <w:t>Sol llevó de manera positiva la energía del sol a sus consumidores, siendo parte relevante de sus celebraciones, momentos importantes con amigos y familiares volviéndonos</w:t>
            </w:r>
            <w:r w:rsidR="0099549C">
              <w:rPr>
                <w:rFonts w:eastAsia="Arial" w:cs="Arial"/>
                <w:szCs w:val="20"/>
              </w:rPr>
              <w:t xml:space="preserve"> </w:t>
            </w:r>
            <w:r w:rsidRPr="00382A62">
              <w:rPr>
                <w:rFonts w:eastAsia="Arial" w:cs="Arial"/>
                <w:szCs w:val="20"/>
              </w:rPr>
              <w:t>parte importante de su disfrute.</w:t>
            </w:r>
            <w:r w:rsidR="003E1098" w:rsidRPr="00382A62">
              <w:rPr>
                <w:rFonts w:cs="Arial"/>
                <w:szCs w:val="20"/>
              </w:rPr>
              <w:t xml:space="preserve"> </w:t>
            </w:r>
            <w:r w:rsidR="003E1098" w:rsidRPr="00382A62">
              <w:rPr>
                <w:rFonts w:eastAsia="Arial" w:cs="Arial"/>
                <w:szCs w:val="20"/>
              </w:rPr>
              <w:t>Se realizaron activaciones en distintos puntos de venta (PDV) y espacios del On Premise durante el Día de Muertos.</w:t>
            </w:r>
          </w:p>
          <w:p w14:paraId="5BDAB35B" w14:textId="6ADBE6D5" w:rsidR="007605E6" w:rsidRPr="00382A62" w:rsidRDefault="007605E6" w:rsidP="004C18D1">
            <w:pPr>
              <w:spacing w:after="0"/>
              <w:rPr>
                <w:rFonts w:cs="Arial"/>
                <w:szCs w:val="20"/>
              </w:rPr>
            </w:pPr>
            <w:r w:rsidRPr="00382A62">
              <w:rPr>
                <w:rFonts w:eastAsia="Arial" w:cs="Arial"/>
                <w:b/>
                <w:bCs/>
                <w:szCs w:val="20"/>
              </w:rPr>
              <w:t>Coors Light</w:t>
            </w:r>
            <w:r w:rsidRPr="00382A62">
              <w:rPr>
                <w:rFonts w:eastAsia="Arial" w:cs="Arial"/>
                <w:szCs w:val="20"/>
              </w:rPr>
              <w:t xml:space="preserve"> </w:t>
            </w:r>
            <w:r w:rsidR="004C18D1" w:rsidRPr="00382A62">
              <w:rPr>
                <w:rFonts w:eastAsia="Arial" w:cs="Arial"/>
                <w:szCs w:val="20"/>
              </w:rPr>
              <w:t>Coors Light fortaleció el mensaje de que es la cerveza “Hecha Para Refrescar”, esto permitió la construcción y el enfoque las credenciales de frío y refrescancia. Los mensajes de marca fueron dirigidos también hacia el estilo de vida y las pausas que debemos hacer para refrescar el día a día. La marca también se apoderó de fechas relevantes para sus consumidores como el Super Bowl y el día de la cerveza, para promover activaciones.</w:t>
            </w:r>
          </w:p>
        </w:tc>
      </w:tr>
      <w:tr w:rsidR="007605E6" w:rsidRPr="00382A62" w14:paraId="22D19DF4" w14:textId="77777777" w:rsidTr="004C18D1">
        <w:trPr>
          <w:cantSplit/>
          <w:trHeight w:val="993"/>
          <w:jc w:val="center"/>
        </w:trPr>
        <w:tc>
          <w:tcPr>
            <w:tcW w:w="2198"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078EF824" w14:textId="77777777" w:rsidR="007605E6" w:rsidRPr="00382A62" w:rsidRDefault="007605E6" w:rsidP="007D00B2">
            <w:pPr>
              <w:spacing w:after="0"/>
              <w:jc w:val="left"/>
              <w:rPr>
                <w:rFonts w:cs="Arial"/>
                <w:b/>
                <w:bCs/>
                <w:szCs w:val="20"/>
              </w:rPr>
            </w:pPr>
            <w:r w:rsidRPr="00382A62">
              <w:rPr>
                <w:rFonts w:cs="Arial"/>
                <w:b/>
                <w:bCs/>
                <w:color w:val="000000"/>
                <w:szCs w:val="20"/>
              </w:rPr>
              <w:t>BAS</w:t>
            </w:r>
          </w:p>
        </w:tc>
        <w:tc>
          <w:tcPr>
            <w:tcW w:w="756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3AD1A204" w14:textId="77777777" w:rsidR="007605E6" w:rsidRPr="00382A62" w:rsidRDefault="00277CE1" w:rsidP="00277CE1">
            <w:pPr>
              <w:spacing w:after="0"/>
              <w:rPr>
                <w:rFonts w:eastAsia="Arial" w:cs="Arial"/>
                <w:szCs w:val="20"/>
              </w:rPr>
            </w:pPr>
            <w:r w:rsidRPr="00382A62">
              <w:rPr>
                <w:rFonts w:eastAsia="Arial" w:cs="Arial"/>
                <w:szCs w:val="20"/>
              </w:rPr>
              <w:t>FIFCO mantiene su liderazgo en la categoría de Bebidas Alcohólicas Saborizadas (BAS) en Costa Rica, la cual se ha mantenido en los últimos meses con un alto crecimiento.</w:t>
            </w:r>
          </w:p>
          <w:p w14:paraId="12D22492" w14:textId="05AF756C" w:rsidR="00C55398" w:rsidRPr="00382A62" w:rsidRDefault="00C55398" w:rsidP="0099549C">
            <w:pPr>
              <w:spacing w:after="0"/>
              <w:rPr>
                <w:rFonts w:cs="Arial"/>
                <w:szCs w:val="20"/>
              </w:rPr>
            </w:pPr>
            <w:r w:rsidRPr="00382A62">
              <w:rPr>
                <w:rFonts w:eastAsia="Arial" w:cs="Arial"/>
                <w:b/>
                <w:bCs/>
                <w:szCs w:val="20"/>
              </w:rPr>
              <w:t>Adán &amp; Eva</w:t>
            </w:r>
            <w:r w:rsidRPr="00382A62">
              <w:rPr>
                <w:rFonts w:eastAsia="Arial" w:cs="Arial"/>
                <w:szCs w:val="20"/>
              </w:rPr>
              <w:t xml:space="preserve"> una de las marcas más representativas en el segmento mostró un crecimiento a doble dígito en el 2023.</w:t>
            </w:r>
            <w:r w:rsidR="004F02AB" w:rsidRPr="00382A62">
              <w:rPr>
                <w:rFonts w:eastAsia="Arial" w:cs="Arial"/>
                <w:szCs w:val="20"/>
              </w:rPr>
              <w:t xml:space="preserve"> </w:t>
            </w:r>
            <w:r w:rsidR="004F02AB" w:rsidRPr="00382A62">
              <w:rPr>
                <w:rFonts w:eastAsia="Arial" w:cs="Arial"/>
                <w:b/>
                <w:bCs/>
                <w:szCs w:val="20"/>
              </w:rPr>
              <w:t>Bamboo y Smirnoff</w:t>
            </w:r>
            <w:r w:rsidR="004F02AB" w:rsidRPr="00382A62">
              <w:rPr>
                <w:rFonts w:eastAsia="Arial" w:cs="Arial"/>
                <w:szCs w:val="20"/>
              </w:rPr>
              <w:t xml:space="preserve"> Ice han tenido un volumen récord de ventas gracias a la preferencia de las personas consumidoras.</w:t>
            </w:r>
            <w:r w:rsidR="00A926BA" w:rsidRPr="00382A62">
              <w:rPr>
                <w:rFonts w:eastAsia="Arial" w:cs="Arial"/>
                <w:szCs w:val="20"/>
              </w:rPr>
              <w:t xml:space="preserve"> </w:t>
            </w:r>
          </w:p>
        </w:tc>
      </w:tr>
    </w:tbl>
    <w:p w14:paraId="5EA553DC" w14:textId="77777777" w:rsidR="007605E6" w:rsidRPr="00382A62" w:rsidRDefault="007605E6" w:rsidP="007605E6">
      <w:pPr>
        <w:rPr>
          <w:rFonts w:cs="Arial"/>
          <w:szCs w:val="20"/>
        </w:rPr>
      </w:pPr>
    </w:p>
    <w:p w14:paraId="078EFDEF" w14:textId="77777777" w:rsidR="007605E6" w:rsidRPr="00382A62" w:rsidRDefault="007605E6" w:rsidP="00147CF2">
      <w:pPr>
        <w:pStyle w:val="Prrafodelista"/>
        <w:numPr>
          <w:ilvl w:val="0"/>
          <w:numId w:val="29"/>
        </w:numPr>
        <w:rPr>
          <w:rFonts w:cs="Arial"/>
          <w:b/>
          <w:bCs/>
          <w:szCs w:val="20"/>
        </w:rPr>
      </w:pPr>
      <w:r w:rsidRPr="00382A62">
        <w:rPr>
          <w:rFonts w:eastAsia="Arial" w:cs="Arial"/>
          <w:b/>
          <w:szCs w:val="20"/>
        </w:rPr>
        <w:lastRenderedPageBreak/>
        <w:t>Vinos y destilados</w:t>
      </w:r>
    </w:p>
    <w:p w14:paraId="3B603E30" w14:textId="5BB30D83" w:rsidR="00F0646E" w:rsidRPr="00382A62" w:rsidRDefault="00F0646E" w:rsidP="00F0646E">
      <w:pPr>
        <w:rPr>
          <w:rFonts w:eastAsia="Arial" w:cs="Arial"/>
          <w:szCs w:val="20"/>
        </w:rPr>
      </w:pPr>
      <w:r w:rsidRPr="00382A62">
        <w:rPr>
          <w:rFonts w:eastAsia="Arial" w:cs="Arial"/>
          <w:szCs w:val="20"/>
        </w:rPr>
        <w:t xml:space="preserve">La Categoría de Vinos inició el 2023 con la campaña </w:t>
      </w:r>
      <w:r w:rsidR="00333CF8">
        <w:rPr>
          <w:rFonts w:eastAsia="Arial" w:cs="Arial"/>
          <w:szCs w:val="20"/>
        </w:rPr>
        <w:t>“¿</w:t>
      </w:r>
      <w:r w:rsidRPr="00382A62">
        <w:rPr>
          <w:rFonts w:eastAsia="Arial" w:cs="Arial"/>
          <w:szCs w:val="20"/>
        </w:rPr>
        <w:t>D</w:t>
      </w:r>
      <w:r w:rsidR="00333CF8">
        <w:rPr>
          <w:rFonts w:eastAsia="Arial" w:cs="Arial"/>
          <w:szCs w:val="20"/>
        </w:rPr>
        <w:t>ó</w:t>
      </w:r>
      <w:r w:rsidRPr="00382A62">
        <w:rPr>
          <w:rFonts w:eastAsia="Arial" w:cs="Arial"/>
          <w:szCs w:val="20"/>
        </w:rPr>
        <w:t>nde Son</w:t>
      </w:r>
      <w:r w:rsidR="00333CF8">
        <w:rPr>
          <w:rFonts w:eastAsia="Arial" w:cs="Arial"/>
          <w:szCs w:val="20"/>
        </w:rPr>
        <w:t>?”</w:t>
      </w:r>
      <w:r w:rsidRPr="00382A62">
        <w:rPr>
          <w:rFonts w:eastAsia="Arial" w:cs="Arial"/>
          <w:szCs w:val="20"/>
        </w:rPr>
        <w:t>, una iniciativa multimarca que permitió demostrar que el vino también puede tener un rol protagónico en el verano. Esta Campaña construyó de manera contundente sobre el pilar estratégico de “Reclutar nuevos consumidores” logrando importante interacción con los consumidores más jóvenes con todas las marcas participantes.</w:t>
      </w:r>
    </w:p>
    <w:p w14:paraId="763E86C9" w14:textId="7F1A39BF" w:rsidR="00F0646E" w:rsidRPr="00382A62" w:rsidRDefault="00F0646E" w:rsidP="00F0646E">
      <w:pPr>
        <w:rPr>
          <w:rFonts w:eastAsia="Arial" w:cs="Arial"/>
          <w:szCs w:val="20"/>
        </w:rPr>
      </w:pPr>
      <w:r w:rsidRPr="00382A62">
        <w:rPr>
          <w:rFonts w:eastAsia="Arial" w:cs="Arial"/>
          <w:szCs w:val="20"/>
        </w:rPr>
        <w:t>Más adelante en el año tuvimos la visita de Cristina Forner González, presidenta del Grupo Marqués de Cáceres de La Rioja, quien forma parte de la cuarta generación de la compañía y su paso por ella es sinónimo de innovación y calidad. Esta visita refuerza la posición de Costa Rica como uno de los mercados importante para la bodega española, muestra de ello es que ocupa el puesto 12 en el rango de países de exportación, que suman actualmente 120 y que a su vez, es la marca española más exportada a nivel mundial. ¡Todo un honor para Costa Rica!</w:t>
      </w:r>
    </w:p>
    <w:p w14:paraId="3E9B0D66" w14:textId="57C5B492" w:rsidR="007605E6" w:rsidRPr="00382A62" w:rsidRDefault="00F0646E" w:rsidP="00F0646E">
      <w:pPr>
        <w:rPr>
          <w:rFonts w:eastAsia="Arial" w:cs="Arial"/>
          <w:szCs w:val="20"/>
        </w:rPr>
      </w:pPr>
      <w:r w:rsidRPr="00382A62">
        <w:rPr>
          <w:rFonts w:eastAsia="Arial" w:cs="Arial"/>
          <w:szCs w:val="20"/>
        </w:rPr>
        <w:t>Para finalizar el año tuvimos una nueva edición de Camino del Vino, consolidándose como la feria más importante de Costa Rica y Centroamérica en el sector. Fieles a nuestro objetivo de dar a conocer la cultura del vino, al mismo tiempo que “democratizamos” la categoría y la hacemos más entretenida, cercana y accesible a todo tipo de consumidor, la ocasión sirvió para presentar el portafolio actual y las innovaciones que tiene la categoría para el 2024 a consumidores y a nuestros principales clientes. La feria reunió más de 3.000 asistentes, incrementando las visitas de la edición anterior, rompiendo récord de ventas y nos permitió hacer negocios de la mano de nuestros principales proveedores con nuestros clientes para el próximo período.</w:t>
      </w:r>
    </w:p>
    <w:p w14:paraId="76845DF2" w14:textId="77777777" w:rsidR="007605E6" w:rsidRPr="00382A62" w:rsidRDefault="007605E6" w:rsidP="00147CF2">
      <w:pPr>
        <w:pStyle w:val="Prrafodelista"/>
        <w:numPr>
          <w:ilvl w:val="0"/>
          <w:numId w:val="29"/>
        </w:numPr>
        <w:rPr>
          <w:rFonts w:eastAsia="Arial" w:cs="Arial"/>
          <w:b/>
          <w:szCs w:val="20"/>
        </w:rPr>
      </w:pPr>
      <w:r w:rsidRPr="00382A62">
        <w:rPr>
          <w:rFonts w:eastAsia="Arial" w:cs="Arial"/>
          <w:b/>
          <w:szCs w:val="20"/>
        </w:rPr>
        <w:t>Refrescos</w:t>
      </w:r>
    </w:p>
    <w:p w14:paraId="4F14F7D6" w14:textId="77777777" w:rsidR="007605E6" w:rsidRDefault="007605E6" w:rsidP="007605E6">
      <w:pPr>
        <w:rPr>
          <w:rFonts w:cs="Arial"/>
          <w:szCs w:val="20"/>
        </w:rPr>
      </w:pPr>
      <w:r w:rsidRPr="00382A62">
        <w:rPr>
          <w:rFonts w:cs="Arial"/>
          <w:szCs w:val="20"/>
        </w:rPr>
        <w:t>El foco del portafolio de refrescos estuvo en anticipar y responder a las tendencias de consumidores cada vez más conscientes de la importancia de llevar un estilo de vida saludable y mantener una dieta balanceada. Este portafolio presento una mejora en la mezcla hacia presentaciones personales con volumen ligeramente mayor.   Se continuó con el crecimiento de ventas por las plataformas de compra virtual de los socios comerciales, así como procesos de innovación por medio de estrategias disruptivas aumentando la penetración de nuestras marcas y reclutando nuevos consumidores, invitando a vivir y disfrutar de un mundo más natural.</w:t>
      </w:r>
    </w:p>
    <w:p w14:paraId="06E64ADB" w14:textId="77777777" w:rsidR="0099549C" w:rsidRDefault="0099549C" w:rsidP="007605E6">
      <w:pPr>
        <w:rPr>
          <w:rFonts w:cs="Arial"/>
          <w:szCs w:val="20"/>
        </w:rPr>
      </w:pPr>
    </w:p>
    <w:p w14:paraId="637F6227" w14:textId="77777777" w:rsidR="0099549C" w:rsidRDefault="0099549C" w:rsidP="007605E6">
      <w:pPr>
        <w:rPr>
          <w:rFonts w:cs="Arial"/>
          <w:szCs w:val="20"/>
        </w:rPr>
      </w:pPr>
    </w:p>
    <w:p w14:paraId="4A2A56C2" w14:textId="77777777" w:rsidR="0099549C" w:rsidRDefault="0099549C" w:rsidP="007605E6">
      <w:pPr>
        <w:rPr>
          <w:rFonts w:cs="Arial"/>
          <w:szCs w:val="20"/>
        </w:rPr>
      </w:pPr>
    </w:p>
    <w:p w14:paraId="7968E878" w14:textId="77777777" w:rsidR="0099549C" w:rsidRDefault="0099549C" w:rsidP="007605E6">
      <w:pPr>
        <w:rPr>
          <w:rFonts w:cs="Arial"/>
          <w:szCs w:val="20"/>
        </w:rPr>
      </w:pPr>
    </w:p>
    <w:p w14:paraId="287023E4" w14:textId="77777777" w:rsidR="0099549C" w:rsidRDefault="0099549C" w:rsidP="007605E6">
      <w:pPr>
        <w:rPr>
          <w:rFonts w:cs="Arial"/>
          <w:szCs w:val="20"/>
        </w:rPr>
      </w:pPr>
    </w:p>
    <w:p w14:paraId="5F9D96C4" w14:textId="77777777" w:rsidR="0099549C" w:rsidRDefault="0099549C" w:rsidP="007605E6">
      <w:pPr>
        <w:rPr>
          <w:rFonts w:cs="Arial"/>
          <w:szCs w:val="20"/>
        </w:rPr>
      </w:pPr>
    </w:p>
    <w:p w14:paraId="526133FA" w14:textId="77777777" w:rsidR="0099549C" w:rsidRPr="00382A62" w:rsidRDefault="0099549C" w:rsidP="007605E6">
      <w:pPr>
        <w:rPr>
          <w:rFonts w:cs="Arial"/>
          <w:szCs w:val="20"/>
        </w:rPr>
      </w:pPr>
    </w:p>
    <w:p w14:paraId="0152665B" w14:textId="1B2DB697" w:rsidR="007605E6" w:rsidRPr="00382A62" w:rsidRDefault="007605E6" w:rsidP="007605E6">
      <w:pPr>
        <w:pStyle w:val="Descripcin"/>
        <w:rPr>
          <w:rFonts w:cs="Arial"/>
          <w:szCs w:val="20"/>
        </w:rPr>
      </w:pPr>
      <w:bookmarkStart w:id="165" w:name="_Toc169624734"/>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38</w:t>
      </w:r>
      <w:r w:rsidR="00423C23" w:rsidRPr="00382A62">
        <w:rPr>
          <w:rFonts w:cs="Arial"/>
          <w:noProof/>
          <w:szCs w:val="20"/>
        </w:rPr>
        <w:fldChar w:fldCharType="end"/>
      </w:r>
      <w:r w:rsidRPr="00382A62">
        <w:rPr>
          <w:rFonts w:cs="Arial"/>
          <w:szCs w:val="20"/>
        </w:rPr>
        <w:t xml:space="preserve"> - Principales hitos de categoría refrescos</w:t>
      </w:r>
      <w:bookmarkEnd w:id="165"/>
    </w:p>
    <w:tbl>
      <w:tblPr>
        <w:tblW w:w="9545" w:type="dxa"/>
        <w:jc w:val="center"/>
        <w:tblCellMar>
          <w:left w:w="0" w:type="dxa"/>
          <w:right w:w="0" w:type="dxa"/>
        </w:tblCellMar>
        <w:tblLook w:val="04A0" w:firstRow="1" w:lastRow="0" w:firstColumn="1" w:lastColumn="0" w:noHBand="0" w:noVBand="1"/>
      </w:tblPr>
      <w:tblGrid>
        <w:gridCol w:w="1858"/>
        <w:gridCol w:w="7687"/>
      </w:tblGrid>
      <w:tr w:rsidR="007605E6" w:rsidRPr="00382A62" w14:paraId="7DD133D5" w14:textId="77777777" w:rsidTr="00D4474E">
        <w:trPr>
          <w:cantSplit/>
          <w:trHeight w:val="2793"/>
          <w:jc w:val="center"/>
        </w:trPr>
        <w:tc>
          <w:tcPr>
            <w:tcW w:w="185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512D5DA4" w14:textId="77777777" w:rsidR="007605E6" w:rsidRPr="00382A62" w:rsidRDefault="007605E6" w:rsidP="007D00B2">
            <w:pPr>
              <w:spacing w:after="0"/>
              <w:jc w:val="left"/>
              <w:rPr>
                <w:rFonts w:cs="Arial"/>
                <w:b/>
                <w:bCs/>
                <w:szCs w:val="20"/>
              </w:rPr>
            </w:pPr>
            <w:r w:rsidRPr="00382A62">
              <w:rPr>
                <w:rFonts w:cs="Arial"/>
                <w:b/>
                <w:bCs/>
                <w:szCs w:val="20"/>
              </w:rPr>
              <w:t>Tropical</w:t>
            </w:r>
          </w:p>
        </w:tc>
        <w:tc>
          <w:tcPr>
            <w:tcW w:w="7687"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239A9EF7" w14:textId="5ED92F14" w:rsidR="00E8047D" w:rsidRPr="00D4474E" w:rsidRDefault="000B100B" w:rsidP="0099549C">
            <w:pPr>
              <w:spacing w:after="0"/>
              <w:rPr>
                <w:rFonts w:cs="Arial"/>
                <w:szCs w:val="20"/>
              </w:rPr>
            </w:pPr>
            <w:r w:rsidRPr="00D4474E">
              <w:rPr>
                <w:rFonts w:eastAsia="Arial" w:cs="Arial"/>
                <w:szCs w:val="20"/>
              </w:rPr>
              <w:t>La innovación de este año fue Tropical Play en dos sabores: Té Negro Melocotón y Té Blanco Arándanos. Su rol estratégico es reclutar a los consumidores más jóvenes, así como crear una conexión con la marca desde edades tempranas. Con una mejor propuesta para refrescarse antes,</w:t>
            </w:r>
            <w:r w:rsidR="0099549C">
              <w:rPr>
                <w:rFonts w:eastAsia="Arial" w:cs="Arial"/>
                <w:szCs w:val="20"/>
              </w:rPr>
              <w:t xml:space="preserve"> </w:t>
            </w:r>
            <w:r w:rsidRPr="00D4474E">
              <w:rPr>
                <w:rFonts w:eastAsia="Arial" w:cs="Arial"/>
                <w:szCs w:val="20"/>
              </w:rPr>
              <w:t>durante y después de la diversión. Este producto es reducido en azúcar, enriquecido con Vitamina C, con sabores y antioxidantes naturales, sin preservantes y con una práctica presentación en empaque tetra brik de 200ml, que unido a su diseño atractivo es el complemento perfecto para sus meriendas.</w:t>
            </w:r>
            <w:r w:rsidR="00F70006" w:rsidRPr="00D4474E">
              <w:rPr>
                <w:rFonts w:cs="Arial"/>
                <w:szCs w:val="20"/>
              </w:rPr>
              <w:t xml:space="preserve"> </w:t>
            </w:r>
            <w:r w:rsidR="0064190C" w:rsidRPr="00D4474E">
              <w:rPr>
                <w:rFonts w:eastAsia="Arial" w:cs="Arial"/>
                <w:szCs w:val="20"/>
              </w:rPr>
              <w:t>Mente Fresca promovió el equilibrio saludable entre las responsabilidades del día a día y los momentos de balance para lidiar de mejor forma con la vida cotidiana. Se logró conectar de mejor manera con nuevos consumidores con mayor foco en la generación de 18 a 24 años.</w:t>
            </w:r>
            <w:r w:rsidR="00E8047D" w:rsidRPr="00D4474E">
              <w:rPr>
                <w:rFonts w:eastAsia="Arial" w:cs="Arial"/>
                <w:szCs w:val="20"/>
              </w:rPr>
              <w:t xml:space="preserve"> Con la campaña Bajá el Calor, Tropical conectó con sus consumidores a través de uno de sus principales atributos: la refrescancia y devolverles la buena vibra de forma natural.</w:t>
            </w:r>
          </w:p>
        </w:tc>
      </w:tr>
      <w:tr w:rsidR="007605E6" w:rsidRPr="00382A62" w14:paraId="1CC9D2E0" w14:textId="77777777" w:rsidTr="00D4474E">
        <w:trPr>
          <w:cantSplit/>
          <w:trHeight w:val="1717"/>
          <w:jc w:val="center"/>
        </w:trPr>
        <w:tc>
          <w:tcPr>
            <w:tcW w:w="1858"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5DBE64DE" w14:textId="77777777" w:rsidR="007605E6" w:rsidRPr="00382A62" w:rsidRDefault="007605E6" w:rsidP="007D00B2">
            <w:pPr>
              <w:spacing w:after="0"/>
              <w:jc w:val="left"/>
              <w:rPr>
                <w:rFonts w:cs="Arial"/>
                <w:b/>
                <w:bCs/>
                <w:szCs w:val="20"/>
              </w:rPr>
            </w:pPr>
            <w:r w:rsidRPr="00382A62">
              <w:rPr>
                <w:rFonts w:cs="Arial"/>
                <w:b/>
                <w:bCs/>
                <w:color w:val="000000"/>
                <w:szCs w:val="20"/>
              </w:rPr>
              <w:t>Energéticos</w:t>
            </w:r>
          </w:p>
        </w:tc>
        <w:tc>
          <w:tcPr>
            <w:tcW w:w="7687"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6C308777" w14:textId="2B7B16E5" w:rsidR="00C245F0" w:rsidRPr="00D4474E" w:rsidRDefault="00925576" w:rsidP="0099549C">
            <w:pPr>
              <w:spacing w:after="0"/>
              <w:rPr>
                <w:rFonts w:cs="Arial"/>
                <w:szCs w:val="20"/>
              </w:rPr>
            </w:pPr>
            <w:r w:rsidRPr="00D4474E">
              <w:rPr>
                <w:rFonts w:eastAsia="Arial" w:cs="Arial"/>
                <w:b/>
                <w:bCs/>
                <w:szCs w:val="20"/>
              </w:rPr>
              <w:t>Nuevo JET A.M.</w:t>
            </w:r>
            <w:r w:rsidR="007605E6" w:rsidRPr="00D4474E">
              <w:rPr>
                <w:rFonts w:eastAsia="Arial" w:cs="Arial"/>
                <w:szCs w:val="20"/>
              </w:rPr>
              <w:t xml:space="preserve"> </w:t>
            </w:r>
            <w:r w:rsidR="004C30BD" w:rsidRPr="00D4474E">
              <w:rPr>
                <w:rFonts w:eastAsia="Arial" w:cs="Arial"/>
                <w:szCs w:val="20"/>
              </w:rPr>
              <w:t>Tiene atributos funcionales ideales para iniciar el día de la mejor manera. Con cafeína equivalente a una taza de café, con jugo de naranja 100% natural y bajo en calorías, logra</w:t>
            </w:r>
            <w:r w:rsidR="0099549C">
              <w:rPr>
                <w:rFonts w:eastAsia="Arial" w:cs="Arial"/>
                <w:szCs w:val="20"/>
              </w:rPr>
              <w:t xml:space="preserve"> </w:t>
            </w:r>
            <w:r w:rsidR="004C30BD" w:rsidRPr="00D4474E">
              <w:rPr>
                <w:rFonts w:eastAsia="Arial" w:cs="Arial"/>
                <w:szCs w:val="20"/>
              </w:rPr>
              <w:t>posicionarse como una excelente alternativa tanto para los consumidores actuales como para aquellos que no consumen bebidas energéticas</w:t>
            </w:r>
            <w:r w:rsidR="00AD1617">
              <w:rPr>
                <w:rFonts w:eastAsia="Arial" w:cs="Arial"/>
                <w:szCs w:val="20"/>
              </w:rPr>
              <w:t>.</w:t>
            </w:r>
            <w:r w:rsidR="00C245F0" w:rsidRPr="00D4474E">
              <w:rPr>
                <w:rFonts w:cs="Arial"/>
                <w:szCs w:val="20"/>
              </w:rPr>
              <w:t xml:space="preserve"> </w:t>
            </w:r>
            <w:r w:rsidR="00C245F0" w:rsidRPr="00D4474E">
              <w:rPr>
                <w:rFonts w:eastAsia="Arial" w:cs="Arial"/>
                <w:b/>
                <w:bCs/>
                <w:szCs w:val="20"/>
              </w:rPr>
              <w:t>JETCOINS</w:t>
            </w:r>
            <w:r w:rsidR="008947B5" w:rsidRPr="00D4474E">
              <w:rPr>
                <w:rFonts w:eastAsia="Arial" w:cs="Arial"/>
                <w:b/>
                <w:bCs/>
                <w:szCs w:val="20"/>
              </w:rPr>
              <w:t xml:space="preserve">:  </w:t>
            </w:r>
            <w:r w:rsidR="008947B5" w:rsidRPr="00D4474E">
              <w:rPr>
                <w:rFonts w:eastAsia="Arial" w:cs="Arial"/>
                <w:szCs w:val="20"/>
              </w:rPr>
              <w:t>Es una moneda virtual que mediante el e-commerce propio de la marca, el consumidor puede acumular y canjear promocionales de la Jet. Esta plataforma logró la activación de 124.000 códigos y recolectar una cifra significativamente alta de datos de los</w:t>
            </w:r>
            <w:r w:rsidR="00233981" w:rsidRPr="00D4474E">
              <w:rPr>
                <w:rFonts w:eastAsia="Arial" w:cs="Arial"/>
                <w:szCs w:val="20"/>
              </w:rPr>
              <w:t xml:space="preserve"> </w:t>
            </w:r>
            <w:r w:rsidR="008947B5" w:rsidRPr="00D4474E">
              <w:rPr>
                <w:rFonts w:eastAsia="Arial" w:cs="Arial"/>
                <w:szCs w:val="20"/>
              </w:rPr>
              <w:t>consumidores.</w:t>
            </w:r>
          </w:p>
        </w:tc>
      </w:tr>
      <w:tr w:rsidR="007605E6" w:rsidRPr="00382A62" w14:paraId="548A74D9" w14:textId="77777777" w:rsidTr="00D4474E">
        <w:trPr>
          <w:cantSplit/>
          <w:trHeight w:val="1496"/>
          <w:jc w:val="center"/>
        </w:trPr>
        <w:tc>
          <w:tcPr>
            <w:tcW w:w="1858"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05AB8B8F" w14:textId="77777777" w:rsidR="007605E6" w:rsidRPr="00382A62" w:rsidRDefault="007605E6" w:rsidP="007D00B2">
            <w:pPr>
              <w:spacing w:after="0"/>
              <w:jc w:val="left"/>
              <w:rPr>
                <w:rFonts w:cs="Arial"/>
                <w:b/>
                <w:bCs/>
                <w:szCs w:val="20"/>
              </w:rPr>
            </w:pPr>
            <w:r w:rsidRPr="00382A62">
              <w:rPr>
                <w:rFonts w:cs="Arial"/>
                <w:b/>
                <w:bCs/>
                <w:color w:val="000000"/>
                <w:szCs w:val="20"/>
              </w:rPr>
              <w:t>Carbonatadas</w:t>
            </w:r>
          </w:p>
        </w:tc>
        <w:tc>
          <w:tcPr>
            <w:tcW w:w="7687"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2115988F" w14:textId="119389A0" w:rsidR="007605E6" w:rsidRPr="00D4474E" w:rsidRDefault="007605E6" w:rsidP="001875E6">
            <w:pPr>
              <w:spacing w:after="0"/>
              <w:rPr>
                <w:rFonts w:eastAsia="Arial" w:cs="Arial"/>
                <w:szCs w:val="20"/>
              </w:rPr>
            </w:pPr>
            <w:r w:rsidRPr="00D4474E">
              <w:rPr>
                <w:rFonts w:eastAsia="Arial" w:cs="Arial"/>
                <w:b/>
                <w:bCs/>
                <w:szCs w:val="20"/>
              </w:rPr>
              <w:t>Pepsi</w:t>
            </w:r>
            <w:r w:rsidRPr="00D4474E">
              <w:rPr>
                <w:rFonts w:eastAsia="Arial" w:cs="Arial"/>
                <w:szCs w:val="20"/>
              </w:rPr>
              <w:t xml:space="preserve"> potenció las ocasiones de consumo de la bebida a través de una estrategia digital disruptiva y retadora, con dinámicas en redes sociales y promociones en punto de venta. </w:t>
            </w:r>
            <w:r w:rsidR="00EA51B3" w:rsidRPr="00D4474E">
              <w:rPr>
                <w:rFonts w:eastAsia="Arial" w:cs="Arial"/>
                <w:szCs w:val="20"/>
              </w:rPr>
              <w:t xml:space="preserve">Este 2023 Pepsi realizó una promoción masiva de códigos para llevar a “los fiebres” del fútbol a vivir en persona la final de uno de los torneos de futbol con más espectadores y engagement del mundo: la UEFA Champions League. </w:t>
            </w:r>
            <w:r w:rsidR="00871924" w:rsidRPr="00D4474E">
              <w:rPr>
                <w:rFonts w:eastAsia="Arial" w:cs="Arial"/>
                <w:szCs w:val="20"/>
              </w:rPr>
              <w:t>Pepsi retó a las personas a llevar sus experiencias gastronómicas más allá con su campaña Meals, una invitación para aquellos paladares aventureros a explorar calles y sabores.</w:t>
            </w:r>
          </w:p>
        </w:tc>
      </w:tr>
      <w:tr w:rsidR="007605E6" w:rsidRPr="00382A62" w14:paraId="1AAFCCF2" w14:textId="77777777" w:rsidTr="00D4474E">
        <w:trPr>
          <w:cantSplit/>
          <w:trHeight w:val="1931"/>
          <w:jc w:val="center"/>
        </w:trPr>
        <w:tc>
          <w:tcPr>
            <w:tcW w:w="1858"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5EB18CEF" w14:textId="77777777" w:rsidR="007605E6" w:rsidRPr="00382A62" w:rsidRDefault="007605E6" w:rsidP="007D00B2">
            <w:pPr>
              <w:spacing w:after="0"/>
              <w:jc w:val="left"/>
              <w:rPr>
                <w:rFonts w:cs="Arial"/>
                <w:b/>
                <w:bCs/>
                <w:szCs w:val="20"/>
              </w:rPr>
            </w:pPr>
            <w:r w:rsidRPr="00382A62">
              <w:rPr>
                <w:rFonts w:cs="Arial"/>
                <w:b/>
                <w:bCs/>
                <w:color w:val="000000"/>
                <w:szCs w:val="20"/>
              </w:rPr>
              <w:lastRenderedPageBreak/>
              <w:t>Gatorade</w:t>
            </w:r>
          </w:p>
        </w:tc>
        <w:tc>
          <w:tcPr>
            <w:tcW w:w="7687"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40D31F04" w14:textId="67A59C31" w:rsidR="0023708C" w:rsidRPr="00D4474E" w:rsidRDefault="0023708C" w:rsidP="001875E6">
            <w:pPr>
              <w:spacing w:after="0"/>
              <w:rPr>
                <w:rFonts w:cs="Arial"/>
                <w:szCs w:val="20"/>
              </w:rPr>
            </w:pPr>
            <w:r w:rsidRPr="00D4474E">
              <w:rPr>
                <w:rFonts w:cs="Arial"/>
                <w:szCs w:val="20"/>
              </w:rPr>
              <w:t>Con el objetivo claro de liderar la categoría, Gatorade expandió su portafolio con la innovación de Gatorlyte: un producto que a través de su mezcla especializada de 5 electrolitos provee una rápida</w:t>
            </w:r>
          </w:p>
          <w:p w14:paraId="5C78A070" w14:textId="46349821" w:rsidR="007605E6" w:rsidRPr="00D4474E" w:rsidRDefault="0023708C" w:rsidP="0099549C">
            <w:pPr>
              <w:spacing w:after="0"/>
              <w:rPr>
                <w:rFonts w:cs="Arial"/>
                <w:szCs w:val="20"/>
              </w:rPr>
            </w:pPr>
            <w:r w:rsidRPr="00D4474E">
              <w:rPr>
                <w:rFonts w:cs="Arial"/>
                <w:szCs w:val="20"/>
              </w:rPr>
              <w:t>hidratación.</w:t>
            </w:r>
            <w:r w:rsidR="0015664D" w:rsidRPr="00D4474E">
              <w:rPr>
                <w:rFonts w:cs="Arial"/>
                <w:szCs w:val="20"/>
              </w:rPr>
              <w:t xml:space="preserve"> Gatorade lanza la exitosa campaña “Sudar es la Gloria”, la cual amplía el target de la marca más allá de los atletas profesionales. </w:t>
            </w:r>
            <w:r w:rsidR="00F16D24" w:rsidRPr="00D4474E">
              <w:rPr>
                <w:rFonts w:cs="Arial"/>
                <w:szCs w:val="20"/>
              </w:rPr>
              <w:t>Gatorade estuvo presente en los eventos deportivos más</w:t>
            </w:r>
            <w:r w:rsidR="0099549C">
              <w:rPr>
                <w:rFonts w:cs="Arial"/>
                <w:szCs w:val="20"/>
              </w:rPr>
              <w:t xml:space="preserve"> </w:t>
            </w:r>
            <w:r w:rsidR="00F16D24" w:rsidRPr="00D4474E">
              <w:rPr>
                <w:rFonts w:cs="Arial"/>
                <w:szCs w:val="20"/>
              </w:rPr>
              <w:t>relevantes de Costa Rica, como la Maratón de San José, el GF506, Tamarindo Beach Marathon y la</w:t>
            </w:r>
            <w:r w:rsidR="0099549C">
              <w:rPr>
                <w:rFonts w:cs="Arial"/>
                <w:szCs w:val="20"/>
              </w:rPr>
              <w:t xml:space="preserve"> </w:t>
            </w:r>
            <w:r w:rsidR="00F16D24" w:rsidRPr="00D4474E">
              <w:rPr>
                <w:rFonts w:cs="Arial"/>
                <w:szCs w:val="20"/>
              </w:rPr>
              <w:t>icónica carrera San Silvestre.</w:t>
            </w:r>
          </w:p>
        </w:tc>
      </w:tr>
    </w:tbl>
    <w:p w14:paraId="76CB6033" w14:textId="77777777" w:rsidR="007605E6" w:rsidRPr="00382A62" w:rsidRDefault="007605E6" w:rsidP="007605E6">
      <w:pPr>
        <w:rPr>
          <w:rFonts w:cs="Arial"/>
          <w:szCs w:val="20"/>
        </w:rPr>
      </w:pPr>
    </w:p>
    <w:p w14:paraId="733683FA" w14:textId="77777777" w:rsidR="007605E6" w:rsidRPr="00382A62" w:rsidRDefault="007605E6" w:rsidP="00147CF2">
      <w:pPr>
        <w:pStyle w:val="Ttulo3"/>
        <w:numPr>
          <w:ilvl w:val="1"/>
          <w:numId w:val="28"/>
        </w:numPr>
        <w:rPr>
          <w:rFonts w:cs="Arial"/>
          <w:sz w:val="20"/>
          <w:szCs w:val="20"/>
        </w:rPr>
      </w:pPr>
      <w:bookmarkStart w:id="166" w:name="_Toc131092893"/>
      <w:bookmarkStart w:id="167" w:name="_Toc131501094"/>
      <w:bookmarkStart w:id="168" w:name="_Toc169624652"/>
      <w:r w:rsidRPr="00382A62">
        <w:rPr>
          <w:rFonts w:cs="Arial"/>
          <w:sz w:val="20"/>
          <w:szCs w:val="20"/>
        </w:rPr>
        <w:t>FIFCO USA</w:t>
      </w:r>
      <w:bookmarkEnd w:id="166"/>
      <w:bookmarkEnd w:id="167"/>
      <w:bookmarkEnd w:id="168"/>
    </w:p>
    <w:p w14:paraId="0D720CFA" w14:textId="00F51D71" w:rsidR="007605E6" w:rsidRDefault="005E0487" w:rsidP="005E0487">
      <w:pPr>
        <w:rPr>
          <w:rFonts w:cs="Arial"/>
          <w:szCs w:val="20"/>
        </w:rPr>
      </w:pPr>
      <w:r w:rsidRPr="00382A62">
        <w:rPr>
          <w:rFonts w:cs="Arial"/>
          <w:szCs w:val="20"/>
        </w:rPr>
        <w:t>En 2023, completó un exhaustivo estudio de operaciones y marca para analizar el traslado de parte de la producción de Labatt de Canadá a sus instalaciones de Rochester. Con base en los resultados del estudio, FIFCO USA comenzará a producir algunas presentaciones de Labatt Blue y Labatt Blue Light en Rochester en la primavera de 2024. Esto ayudará a Labatt a satisfacer la demanda de los consumidores del producto en la temporada de venta de verano</w:t>
      </w:r>
      <w:r w:rsidR="00AD1617">
        <w:rPr>
          <w:rFonts w:cs="Arial"/>
          <w:szCs w:val="20"/>
        </w:rPr>
        <w:t>.</w:t>
      </w:r>
    </w:p>
    <w:p w14:paraId="6B688FBC" w14:textId="186A7267" w:rsidR="007605E6" w:rsidRPr="00382A62" w:rsidRDefault="007605E6" w:rsidP="007605E6">
      <w:pPr>
        <w:pStyle w:val="Descripcin"/>
        <w:rPr>
          <w:rFonts w:cs="Arial"/>
          <w:szCs w:val="20"/>
        </w:rPr>
      </w:pPr>
      <w:bookmarkStart w:id="169" w:name="_Toc169624735"/>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915ACD" w:rsidRPr="00382A62">
        <w:rPr>
          <w:rFonts w:cs="Arial"/>
          <w:noProof/>
          <w:szCs w:val="20"/>
        </w:rPr>
        <w:t>39</w:t>
      </w:r>
      <w:r w:rsidRPr="00382A62">
        <w:rPr>
          <w:rFonts w:cs="Arial"/>
          <w:noProof/>
          <w:szCs w:val="20"/>
        </w:rPr>
        <w:fldChar w:fldCharType="end"/>
      </w:r>
      <w:r w:rsidRPr="00382A62">
        <w:rPr>
          <w:rFonts w:cs="Arial"/>
          <w:szCs w:val="20"/>
        </w:rPr>
        <w:t xml:space="preserve"> - Principales hitos de bebidas FIFCO USA</w:t>
      </w:r>
      <w:bookmarkEnd w:id="169"/>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06"/>
        <w:gridCol w:w="7864"/>
      </w:tblGrid>
      <w:tr w:rsidR="007605E6" w:rsidRPr="00382A62" w14:paraId="1CF22BD8" w14:textId="77777777" w:rsidTr="002D739C">
        <w:trPr>
          <w:trHeight w:val="300"/>
        </w:trPr>
        <w:tc>
          <w:tcPr>
            <w:tcW w:w="2263" w:type="dxa"/>
            <w:shd w:val="clear" w:color="auto" w:fill="F2F2F2" w:themeFill="background1" w:themeFillShade="F2"/>
          </w:tcPr>
          <w:p w14:paraId="255F12FD" w14:textId="77777777" w:rsidR="007605E6" w:rsidRPr="00382A62" w:rsidRDefault="007605E6" w:rsidP="007D00B2">
            <w:pPr>
              <w:jc w:val="center"/>
              <w:rPr>
                <w:rFonts w:eastAsia="Arial" w:cs="Arial"/>
                <w:b/>
                <w:szCs w:val="20"/>
              </w:rPr>
            </w:pPr>
          </w:p>
          <w:p w14:paraId="4B6838C5" w14:textId="77777777" w:rsidR="007605E6" w:rsidRPr="00382A62" w:rsidRDefault="007605E6" w:rsidP="007D00B2">
            <w:pPr>
              <w:jc w:val="center"/>
              <w:rPr>
                <w:rFonts w:eastAsia="Arial" w:cs="Arial"/>
                <w:b/>
                <w:szCs w:val="20"/>
              </w:rPr>
            </w:pPr>
          </w:p>
          <w:p w14:paraId="7856B4A1" w14:textId="77777777" w:rsidR="007605E6" w:rsidRPr="00382A62" w:rsidRDefault="007605E6" w:rsidP="007D00B2">
            <w:pPr>
              <w:jc w:val="center"/>
              <w:rPr>
                <w:rFonts w:eastAsia="Arial" w:cs="Arial"/>
                <w:b/>
                <w:szCs w:val="20"/>
              </w:rPr>
            </w:pPr>
          </w:p>
          <w:p w14:paraId="315C873D" w14:textId="77777777" w:rsidR="007605E6" w:rsidRPr="00382A62" w:rsidRDefault="007605E6" w:rsidP="007D00B2">
            <w:pPr>
              <w:jc w:val="center"/>
              <w:rPr>
                <w:rFonts w:eastAsia="Arial" w:cs="Arial"/>
                <w:szCs w:val="20"/>
              </w:rPr>
            </w:pPr>
            <w:r w:rsidRPr="00382A62">
              <w:rPr>
                <w:rFonts w:eastAsia="Arial" w:cs="Arial"/>
                <w:b/>
                <w:szCs w:val="20"/>
              </w:rPr>
              <w:t>Seagram’s Escapes</w:t>
            </w:r>
          </w:p>
        </w:tc>
        <w:tc>
          <w:tcPr>
            <w:tcW w:w="8222" w:type="dxa"/>
          </w:tcPr>
          <w:p w14:paraId="704BE876" w14:textId="71346314" w:rsidR="007605E6" w:rsidRPr="00382A62" w:rsidRDefault="001F1429" w:rsidP="001F1429">
            <w:pPr>
              <w:rPr>
                <w:rFonts w:eastAsia="Arial" w:cs="Arial"/>
                <w:szCs w:val="20"/>
              </w:rPr>
            </w:pPr>
            <w:r w:rsidRPr="00382A62">
              <w:rPr>
                <w:rFonts w:eastAsia="Arial" w:cs="Arial"/>
                <w:szCs w:val="20"/>
              </w:rPr>
              <w:t>El equipo de los EE.UU. introdujo latas de 7,5 onzas de Seagram's Escapes y Seagram's Escapes Spiked para ayudar a estimular las pruebas y la visibilidad disruptiva en la venta al detalle. Las latas se convirtieron inmediatamente en un éxito de ventas. En junio, 6 sabores</w:t>
            </w:r>
            <w:r w:rsidR="0099549C">
              <w:rPr>
                <w:rFonts w:eastAsia="Arial" w:cs="Arial"/>
                <w:szCs w:val="20"/>
              </w:rPr>
              <w:t xml:space="preserve"> </w:t>
            </w:r>
            <w:r w:rsidRPr="00382A62">
              <w:rPr>
                <w:rFonts w:eastAsia="Arial" w:cs="Arial"/>
                <w:szCs w:val="20"/>
              </w:rPr>
              <w:t>diferentes de latas de 7,5 onzas se encontraban entre las 12 bebidas de malta saborizadas más vendidas en uno de los principales minoristas estadounidenses. En agosto, el producto se había vendido en 8.000 tiendas de todo el país. Además, las tiendas que vendían latas de 7,5 onzas experimentaron un aumento promedio en las ventas de envases con 12 bebidas variadas.</w:t>
            </w:r>
          </w:p>
          <w:p w14:paraId="7FDB58FF" w14:textId="2F0FE842" w:rsidR="008D51E7" w:rsidRPr="00382A62" w:rsidRDefault="008D51E7" w:rsidP="008D51E7">
            <w:pPr>
              <w:rPr>
                <w:rFonts w:eastAsia="Arial" w:cs="Arial"/>
                <w:szCs w:val="20"/>
              </w:rPr>
            </w:pPr>
            <w:r w:rsidRPr="00382A62">
              <w:rPr>
                <w:rFonts w:eastAsia="Arial" w:cs="Arial"/>
                <w:szCs w:val="20"/>
              </w:rPr>
              <w:t>Spiked, la línea de Seagram's Escapes con mayor contenido de alcohol, también mostró una fuerte tendencia y un buen comportamiento general en 2023. Spiked creció un 6,6% en agotamiento (dólares), un 3,1% en volumen y lideró el crecimiento de la tasa de venta en un 3,1%.</w:t>
            </w:r>
          </w:p>
        </w:tc>
      </w:tr>
      <w:tr w:rsidR="007605E6" w:rsidRPr="00382A62" w14:paraId="27BF9929" w14:textId="77777777" w:rsidTr="002D739C">
        <w:trPr>
          <w:trHeight w:val="300"/>
        </w:trPr>
        <w:tc>
          <w:tcPr>
            <w:tcW w:w="2263" w:type="dxa"/>
            <w:shd w:val="clear" w:color="auto" w:fill="F2F2F2" w:themeFill="background1" w:themeFillShade="F2"/>
          </w:tcPr>
          <w:p w14:paraId="1188C507" w14:textId="77777777" w:rsidR="007605E6" w:rsidRPr="00382A62" w:rsidRDefault="007605E6" w:rsidP="007D00B2">
            <w:pPr>
              <w:jc w:val="left"/>
              <w:rPr>
                <w:rFonts w:eastAsia="Arial" w:cs="Arial"/>
                <w:b/>
                <w:szCs w:val="20"/>
              </w:rPr>
            </w:pPr>
          </w:p>
          <w:p w14:paraId="46FB62ED" w14:textId="77777777" w:rsidR="007605E6" w:rsidRPr="00382A62" w:rsidRDefault="007605E6" w:rsidP="007D00B2">
            <w:pPr>
              <w:jc w:val="left"/>
              <w:rPr>
                <w:rFonts w:eastAsia="Arial" w:cs="Arial"/>
                <w:b/>
                <w:szCs w:val="20"/>
              </w:rPr>
            </w:pPr>
          </w:p>
          <w:p w14:paraId="350EFF95" w14:textId="2FA3D416" w:rsidR="007605E6" w:rsidRPr="00382A62" w:rsidRDefault="00321E05" w:rsidP="007D00B2">
            <w:pPr>
              <w:rPr>
                <w:rFonts w:eastAsia="Arial" w:cs="Arial"/>
                <w:szCs w:val="20"/>
              </w:rPr>
            </w:pPr>
            <w:r w:rsidRPr="00382A62">
              <w:rPr>
                <w:rFonts w:eastAsia="Arial" w:cs="Arial"/>
                <w:b/>
                <w:szCs w:val="20"/>
              </w:rPr>
              <w:t>Lipton Hard Iced Tea</w:t>
            </w:r>
          </w:p>
        </w:tc>
        <w:tc>
          <w:tcPr>
            <w:tcW w:w="8222" w:type="dxa"/>
          </w:tcPr>
          <w:p w14:paraId="1B6FB6AC" w14:textId="137DDA47" w:rsidR="007605E6" w:rsidRPr="00382A62" w:rsidRDefault="00321E05" w:rsidP="0045703A">
            <w:pPr>
              <w:rPr>
                <w:rFonts w:eastAsia="Arial" w:cs="Arial"/>
                <w:szCs w:val="20"/>
              </w:rPr>
            </w:pPr>
            <w:r w:rsidRPr="00382A62">
              <w:rPr>
                <w:rFonts w:eastAsia="Arial" w:cs="Arial"/>
                <w:szCs w:val="20"/>
              </w:rPr>
              <w:t xml:space="preserve">En 2023, la operación estadounidense obtuvo los derechos de licencia para desarrollar y comercializar el </w:t>
            </w:r>
            <w:r w:rsidRPr="00382A62">
              <w:rPr>
                <w:rFonts w:eastAsia="Arial" w:cs="Arial"/>
                <w:szCs w:val="20"/>
                <w:lang w:val="es-419"/>
              </w:rPr>
              <w:t xml:space="preserve">té frío Lipton Hard Iced Tea </w:t>
            </w:r>
            <w:r w:rsidRPr="00382A62">
              <w:rPr>
                <w:rFonts w:eastAsia="Arial" w:cs="Arial"/>
                <w:szCs w:val="20"/>
              </w:rPr>
              <w:t>(LHIT).</w:t>
            </w:r>
            <w:r w:rsidR="00103FEE" w:rsidRPr="00382A62">
              <w:rPr>
                <w:rFonts w:cs="Arial"/>
                <w:szCs w:val="20"/>
              </w:rPr>
              <w:t xml:space="preserve"> </w:t>
            </w:r>
            <w:r w:rsidR="00103FEE" w:rsidRPr="00382A62">
              <w:rPr>
                <w:rFonts w:eastAsia="Arial" w:cs="Arial"/>
                <w:szCs w:val="20"/>
              </w:rPr>
              <w:t>LHIT se presenta en una variedad de refrescantes sabores elaborados con auténtico té frío Lipton. La nueva marca se lanzó en abril con una gran acogida por parte de los consumidores. Los envases variados se enviaron a 10 estados y se ampliaron a 20 a lo largo del año. Los datos de venta al por menor indican un fuerte índice de ventas de la marca, así como de repetición de compras.</w:t>
            </w:r>
          </w:p>
        </w:tc>
      </w:tr>
      <w:tr w:rsidR="00D6508A" w:rsidRPr="00382A62" w14:paraId="360870B1" w14:textId="77777777" w:rsidTr="002D739C">
        <w:trPr>
          <w:trHeight w:val="300"/>
        </w:trPr>
        <w:tc>
          <w:tcPr>
            <w:tcW w:w="2263" w:type="dxa"/>
            <w:shd w:val="clear" w:color="auto" w:fill="F2F2F2" w:themeFill="background1" w:themeFillShade="F2"/>
          </w:tcPr>
          <w:p w14:paraId="007E7C74" w14:textId="19AC101D" w:rsidR="00D6508A" w:rsidRPr="00382A62" w:rsidRDefault="00D6508A" w:rsidP="007D00B2">
            <w:pPr>
              <w:jc w:val="left"/>
              <w:rPr>
                <w:rFonts w:eastAsia="Arial" w:cs="Arial"/>
                <w:b/>
                <w:szCs w:val="20"/>
              </w:rPr>
            </w:pPr>
            <w:r w:rsidRPr="00382A62">
              <w:rPr>
                <w:rFonts w:eastAsia="Arial" w:cs="Arial"/>
                <w:b/>
                <w:szCs w:val="20"/>
              </w:rPr>
              <w:lastRenderedPageBreak/>
              <w:t>Labatt Blue</w:t>
            </w:r>
          </w:p>
        </w:tc>
        <w:tc>
          <w:tcPr>
            <w:tcW w:w="8222" w:type="dxa"/>
          </w:tcPr>
          <w:p w14:paraId="71128B3C" w14:textId="77777777" w:rsidR="00091908" w:rsidRPr="00382A62" w:rsidRDefault="00E564B3" w:rsidP="0045703A">
            <w:pPr>
              <w:rPr>
                <w:rFonts w:eastAsia="Arial" w:cs="Arial"/>
                <w:szCs w:val="20"/>
              </w:rPr>
            </w:pPr>
            <w:r w:rsidRPr="00382A62">
              <w:rPr>
                <w:rFonts w:eastAsia="Arial" w:cs="Arial"/>
                <w:szCs w:val="20"/>
              </w:rPr>
              <w:t>2023 fue un año relevante para nuestras marcas de cerveza. Tanto Labatt Blue Light como Genesee Light superaron los resultados de sus categorías, a pesar del descenso general de la categoría de cerveza a escala nacional</w:t>
            </w:r>
            <w:r w:rsidR="00091908" w:rsidRPr="00382A62">
              <w:rPr>
                <w:rFonts w:eastAsia="Arial" w:cs="Arial"/>
                <w:szCs w:val="20"/>
              </w:rPr>
              <w:t>.</w:t>
            </w:r>
          </w:p>
          <w:p w14:paraId="047B5792" w14:textId="3D099F71" w:rsidR="00BB2254" w:rsidRPr="00BB2254" w:rsidRDefault="00091908" w:rsidP="0045703A">
            <w:pPr>
              <w:rPr>
                <w:rFonts w:eastAsia="Arial" w:cs="Arial"/>
                <w:szCs w:val="20"/>
                <w:lang w:val="es-419"/>
              </w:rPr>
            </w:pPr>
            <w:r w:rsidRPr="00382A62">
              <w:rPr>
                <w:rFonts w:eastAsia="Arial" w:cs="Arial"/>
                <w:b/>
                <w:bCs/>
                <w:szCs w:val="20"/>
              </w:rPr>
              <w:t>Blue y Blue Light</w:t>
            </w:r>
            <w:r w:rsidRPr="00382A62">
              <w:rPr>
                <w:rFonts w:eastAsia="Arial" w:cs="Arial"/>
                <w:szCs w:val="20"/>
              </w:rPr>
              <w:t xml:space="preserve"> ganaron puntos de cuota significativos tanto en dólares como en volumen a pesar de las limitaciones de suministro durante la temporada de verano.</w:t>
            </w:r>
            <w:r w:rsidR="00BB2254" w:rsidRPr="00382A62">
              <w:rPr>
                <w:rFonts w:cs="Arial"/>
                <w:color w:val="636467"/>
                <w:szCs w:val="20"/>
                <w:lang w:val="es-419"/>
              </w:rPr>
              <w:t xml:space="preserve"> </w:t>
            </w:r>
            <w:r w:rsidR="00BB2254" w:rsidRPr="00382A62">
              <w:rPr>
                <w:rFonts w:eastAsia="Arial" w:cs="Arial"/>
                <w:szCs w:val="20"/>
                <w:lang w:val="es-419"/>
              </w:rPr>
              <w:t xml:space="preserve">La salud </w:t>
            </w:r>
            <w:r w:rsidR="00BB2254" w:rsidRPr="00BB2254">
              <w:rPr>
                <w:rFonts w:eastAsia="Arial" w:cs="Arial"/>
                <w:szCs w:val="20"/>
                <w:lang w:val="es-419"/>
              </w:rPr>
              <w:t>de la marca</w:t>
            </w:r>
            <w:r w:rsidR="0099549C">
              <w:rPr>
                <w:rFonts w:eastAsia="Arial" w:cs="Arial"/>
                <w:szCs w:val="20"/>
                <w:lang w:val="es-419"/>
              </w:rPr>
              <w:t>.</w:t>
            </w:r>
          </w:p>
          <w:p w14:paraId="0F792837" w14:textId="47E81196" w:rsidR="00D6508A" w:rsidRPr="00382A62" w:rsidRDefault="00BB2254" w:rsidP="0045703A">
            <w:pPr>
              <w:rPr>
                <w:rFonts w:eastAsia="Arial" w:cs="Arial"/>
                <w:szCs w:val="20"/>
              </w:rPr>
            </w:pPr>
            <w:r w:rsidRPr="00BB2254">
              <w:rPr>
                <w:rFonts w:eastAsia="Arial" w:cs="Arial"/>
                <w:b/>
                <w:bCs/>
                <w:szCs w:val="20"/>
                <w:lang w:val="es-419"/>
              </w:rPr>
              <w:t xml:space="preserve">Labatt </w:t>
            </w:r>
            <w:r w:rsidRPr="00BB2254">
              <w:rPr>
                <w:rFonts w:eastAsia="Arial" w:cs="Arial"/>
                <w:szCs w:val="20"/>
                <w:lang w:val="es-419"/>
              </w:rPr>
              <w:t>sigue</w:t>
            </w:r>
            <w:r w:rsidRPr="00382A62">
              <w:rPr>
                <w:rFonts w:eastAsia="Arial" w:cs="Arial"/>
                <w:szCs w:val="20"/>
                <w:lang w:val="es-419"/>
              </w:rPr>
              <w:t xml:space="preserve"> </w:t>
            </w:r>
            <w:r w:rsidRPr="00BB2254">
              <w:rPr>
                <w:rFonts w:eastAsia="Arial" w:cs="Arial"/>
                <w:szCs w:val="20"/>
                <w:lang w:val="es-419"/>
              </w:rPr>
              <w:t>mejorando en</w:t>
            </w:r>
            <w:r w:rsidRPr="00382A62">
              <w:rPr>
                <w:rFonts w:eastAsia="Arial" w:cs="Arial"/>
                <w:szCs w:val="20"/>
                <w:lang w:val="es-419"/>
              </w:rPr>
              <w:t xml:space="preserve"> </w:t>
            </w:r>
            <w:r w:rsidRPr="00BB2254">
              <w:rPr>
                <w:rFonts w:eastAsia="Arial" w:cs="Arial"/>
                <w:szCs w:val="20"/>
                <w:lang w:val="es-419"/>
              </w:rPr>
              <w:t>los indicadores</w:t>
            </w:r>
            <w:r w:rsidRPr="00382A62">
              <w:rPr>
                <w:rFonts w:eastAsia="Arial" w:cs="Arial"/>
                <w:szCs w:val="20"/>
                <w:lang w:val="es-419"/>
              </w:rPr>
              <w:t xml:space="preserve"> </w:t>
            </w:r>
            <w:r w:rsidRPr="00BB2254">
              <w:rPr>
                <w:rFonts w:eastAsia="Arial" w:cs="Arial"/>
                <w:szCs w:val="20"/>
                <w:lang w:val="es-419"/>
              </w:rPr>
              <w:t>clave</w:t>
            </w:r>
            <w:r w:rsidRPr="00382A62">
              <w:rPr>
                <w:rFonts w:eastAsia="Arial" w:cs="Arial"/>
                <w:szCs w:val="20"/>
                <w:lang w:val="es-419"/>
              </w:rPr>
              <w:t xml:space="preserve"> </w:t>
            </w:r>
            <w:r w:rsidRPr="00BB2254">
              <w:rPr>
                <w:rFonts w:eastAsia="Arial" w:cs="Arial"/>
                <w:szCs w:val="20"/>
                <w:lang w:val="es-419"/>
              </w:rPr>
              <w:t>(notoriedad,</w:t>
            </w:r>
            <w:r w:rsidRPr="00382A62">
              <w:rPr>
                <w:rFonts w:eastAsia="Arial" w:cs="Arial"/>
                <w:szCs w:val="20"/>
                <w:lang w:val="es-419"/>
              </w:rPr>
              <w:t xml:space="preserve"> </w:t>
            </w:r>
            <w:r w:rsidRPr="00BB2254">
              <w:rPr>
                <w:rFonts w:eastAsia="Arial" w:cs="Arial"/>
                <w:szCs w:val="20"/>
                <w:lang w:val="es-419"/>
              </w:rPr>
              <w:t>consideración</w:t>
            </w:r>
            <w:r w:rsidRPr="00382A62">
              <w:rPr>
                <w:rFonts w:eastAsia="Arial" w:cs="Arial"/>
                <w:szCs w:val="20"/>
                <w:lang w:val="es-419"/>
              </w:rPr>
              <w:t xml:space="preserve"> y consumo.</w:t>
            </w:r>
          </w:p>
        </w:tc>
      </w:tr>
      <w:tr w:rsidR="007605E6" w:rsidRPr="00382A62" w14:paraId="1132E425" w14:textId="77777777" w:rsidTr="002D739C">
        <w:trPr>
          <w:trHeight w:val="300"/>
        </w:trPr>
        <w:tc>
          <w:tcPr>
            <w:tcW w:w="2263" w:type="dxa"/>
            <w:shd w:val="clear" w:color="auto" w:fill="F2F2F2" w:themeFill="background1" w:themeFillShade="F2"/>
          </w:tcPr>
          <w:p w14:paraId="7C6387F7" w14:textId="77777777" w:rsidR="007605E6" w:rsidRPr="00382A62" w:rsidRDefault="007605E6" w:rsidP="007D00B2">
            <w:pPr>
              <w:jc w:val="left"/>
              <w:rPr>
                <w:rFonts w:eastAsia="Arial" w:cs="Arial"/>
                <w:b/>
                <w:szCs w:val="20"/>
              </w:rPr>
            </w:pPr>
          </w:p>
          <w:p w14:paraId="11641947" w14:textId="77777777" w:rsidR="007605E6" w:rsidRPr="00382A62" w:rsidRDefault="007605E6" w:rsidP="007D00B2">
            <w:pPr>
              <w:jc w:val="left"/>
              <w:rPr>
                <w:rFonts w:eastAsia="Arial" w:cs="Arial"/>
                <w:b/>
                <w:szCs w:val="20"/>
              </w:rPr>
            </w:pPr>
          </w:p>
          <w:p w14:paraId="482A66B9" w14:textId="77777777" w:rsidR="007605E6" w:rsidRPr="00382A62" w:rsidRDefault="007605E6" w:rsidP="007D00B2">
            <w:pPr>
              <w:jc w:val="left"/>
              <w:rPr>
                <w:rFonts w:eastAsia="Arial" w:cs="Arial"/>
                <w:b/>
                <w:szCs w:val="20"/>
              </w:rPr>
            </w:pPr>
            <w:r w:rsidRPr="00382A62">
              <w:rPr>
                <w:rFonts w:eastAsia="Arial" w:cs="Arial"/>
                <w:b/>
                <w:szCs w:val="20"/>
              </w:rPr>
              <w:t>Genesee</w:t>
            </w:r>
          </w:p>
        </w:tc>
        <w:tc>
          <w:tcPr>
            <w:tcW w:w="8222" w:type="dxa"/>
          </w:tcPr>
          <w:p w14:paraId="49CE1593" w14:textId="5DD48BF4" w:rsidR="0045703A" w:rsidRPr="00382A62" w:rsidRDefault="004219F3" w:rsidP="0045703A">
            <w:pPr>
              <w:rPr>
                <w:rFonts w:cs="Arial"/>
                <w:szCs w:val="20"/>
              </w:rPr>
            </w:pPr>
            <w:r w:rsidRPr="00382A62">
              <w:rPr>
                <w:rFonts w:eastAsia="Arial" w:cs="Arial"/>
                <w:szCs w:val="20"/>
              </w:rPr>
              <w:t>Experimentó un importante crecimiento en dólares y en volumen.</w:t>
            </w:r>
            <w:r w:rsidR="00353B51" w:rsidRPr="00382A62">
              <w:rPr>
                <w:rFonts w:cs="Arial"/>
                <w:szCs w:val="20"/>
              </w:rPr>
              <w:t xml:space="preserve"> </w:t>
            </w:r>
            <w:r w:rsidR="00353B51" w:rsidRPr="00382A62">
              <w:rPr>
                <w:rFonts w:eastAsia="Arial" w:cs="Arial"/>
                <w:szCs w:val="20"/>
              </w:rPr>
              <w:t>Hasta diciembre de 2023, Genesee ganó puntos porcentuales en dólares y puntos porcentuales en volumen gracias a las tendencias extremadamente fuertes de Genesee Light.</w:t>
            </w:r>
            <w:r w:rsidR="00EA2A41" w:rsidRPr="00382A62">
              <w:rPr>
                <w:rFonts w:cs="Arial"/>
                <w:szCs w:val="20"/>
              </w:rPr>
              <w:t xml:space="preserve"> </w:t>
            </w:r>
            <w:r w:rsidR="00EA2A41" w:rsidRPr="00382A62">
              <w:rPr>
                <w:rFonts w:eastAsia="Arial" w:cs="Arial"/>
                <w:b/>
                <w:bCs/>
                <w:szCs w:val="20"/>
              </w:rPr>
              <w:t>Genesee Specialty</w:t>
            </w:r>
            <w:r w:rsidR="00EA2A41" w:rsidRPr="00382A62">
              <w:rPr>
                <w:rFonts w:eastAsia="Arial" w:cs="Arial"/>
                <w:szCs w:val="20"/>
              </w:rPr>
              <w:t xml:space="preserve"> tuvo otro buen año en 2023 impulsado por el regreso de Oktoberfest y Cran- Orange Kellerbier y por el </w:t>
            </w:r>
            <w:r w:rsidR="0045703A" w:rsidRPr="00382A62">
              <w:rPr>
                <w:rFonts w:eastAsia="Arial" w:cs="Arial"/>
                <w:szCs w:val="20"/>
              </w:rPr>
              <w:t>l</w:t>
            </w:r>
            <w:r w:rsidR="00EA2A41" w:rsidRPr="00382A62">
              <w:rPr>
                <w:rFonts w:eastAsia="Arial" w:cs="Arial"/>
                <w:szCs w:val="20"/>
              </w:rPr>
              <w:t>anzamiento de la nueva Citrus Pils de temporada de invierno.</w:t>
            </w:r>
            <w:r w:rsidR="0045703A" w:rsidRPr="00382A62">
              <w:rPr>
                <w:rFonts w:cs="Arial"/>
                <w:szCs w:val="20"/>
              </w:rPr>
              <w:t xml:space="preserve"> </w:t>
            </w:r>
          </w:p>
          <w:p w14:paraId="1DB3AE50" w14:textId="5C4975CA" w:rsidR="007605E6" w:rsidRPr="00382A62" w:rsidRDefault="0045703A" w:rsidP="0045703A">
            <w:pPr>
              <w:rPr>
                <w:rFonts w:eastAsia="Arial" w:cs="Arial"/>
                <w:szCs w:val="20"/>
              </w:rPr>
            </w:pPr>
            <w:r w:rsidRPr="00382A62">
              <w:rPr>
                <w:rFonts w:eastAsia="Arial" w:cs="Arial"/>
                <w:szCs w:val="20"/>
              </w:rPr>
              <w:t>La Cervecería Genesee, bajo nueva dirección, tuvo dos auditorías exitosas en 2023, incluida una puntuación récord del 95 por ciento del Instituto Americano de Panadería (AIB),</w:t>
            </w:r>
          </w:p>
        </w:tc>
      </w:tr>
    </w:tbl>
    <w:p w14:paraId="686711F1" w14:textId="77777777" w:rsidR="007605E6" w:rsidRPr="00382A62" w:rsidRDefault="007605E6" w:rsidP="007605E6">
      <w:pPr>
        <w:rPr>
          <w:rFonts w:eastAsia="Arial" w:cs="Arial"/>
          <w:szCs w:val="20"/>
        </w:rPr>
      </w:pPr>
    </w:p>
    <w:p w14:paraId="027B85D0" w14:textId="77777777" w:rsidR="007605E6" w:rsidRPr="00382A62" w:rsidRDefault="007605E6" w:rsidP="00147CF2">
      <w:pPr>
        <w:pStyle w:val="Ttulo3"/>
        <w:numPr>
          <w:ilvl w:val="1"/>
          <w:numId w:val="28"/>
        </w:numPr>
        <w:rPr>
          <w:rFonts w:cs="Arial"/>
          <w:sz w:val="20"/>
          <w:szCs w:val="20"/>
        </w:rPr>
      </w:pPr>
      <w:bookmarkStart w:id="170" w:name="_Toc131092894"/>
      <w:bookmarkStart w:id="171" w:name="_Toc131501095"/>
      <w:bookmarkStart w:id="172" w:name="_Toc169624653"/>
      <w:r w:rsidRPr="00382A62">
        <w:rPr>
          <w:rFonts w:cs="Arial"/>
          <w:sz w:val="20"/>
          <w:szCs w:val="20"/>
        </w:rPr>
        <w:t>Alimentos</w:t>
      </w:r>
      <w:bookmarkEnd w:id="170"/>
      <w:bookmarkEnd w:id="171"/>
      <w:bookmarkEnd w:id="172"/>
    </w:p>
    <w:p w14:paraId="57C91F8E" w14:textId="64D4AC00" w:rsidR="007605E6" w:rsidRPr="00382A62" w:rsidRDefault="007605E6" w:rsidP="007605E6">
      <w:pPr>
        <w:rPr>
          <w:rFonts w:cs="Arial"/>
          <w:szCs w:val="20"/>
        </w:rPr>
      </w:pPr>
      <w:r w:rsidRPr="00382A62">
        <w:rPr>
          <w:rFonts w:cs="Arial"/>
          <w:szCs w:val="20"/>
        </w:rPr>
        <w:t>En 202</w:t>
      </w:r>
      <w:r w:rsidR="009D2801" w:rsidRPr="00382A62">
        <w:rPr>
          <w:rFonts w:cs="Arial"/>
          <w:szCs w:val="20"/>
        </w:rPr>
        <w:t>3</w:t>
      </w:r>
      <w:r w:rsidRPr="00382A62">
        <w:rPr>
          <w:rFonts w:cs="Arial"/>
          <w:szCs w:val="20"/>
        </w:rPr>
        <w:t xml:space="preserve"> este segmento enfrentó un aumento importante de costos de materias primas, que fue compensado parcialmente por mayor volumen y precios. El crecimiento del volumen fue de </w:t>
      </w:r>
      <w:r w:rsidR="002962FE" w:rsidRPr="00382A62">
        <w:rPr>
          <w:rFonts w:cs="Arial"/>
          <w:szCs w:val="20"/>
        </w:rPr>
        <w:t>3</w:t>
      </w:r>
      <w:r w:rsidRPr="00382A62">
        <w:rPr>
          <w:rFonts w:cs="Arial"/>
          <w:szCs w:val="20"/>
        </w:rPr>
        <w:t>%.</w:t>
      </w:r>
    </w:p>
    <w:p w14:paraId="59CC5DC2" w14:textId="557FF20A" w:rsidR="007605E6" w:rsidRPr="00382A62" w:rsidRDefault="007605E6" w:rsidP="007605E6">
      <w:pPr>
        <w:pStyle w:val="Descripcin"/>
        <w:keepNext/>
        <w:rPr>
          <w:rFonts w:cs="Arial"/>
          <w:szCs w:val="20"/>
          <w:highlight w:val="blue"/>
        </w:rPr>
      </w:pPr>
      <w:bookmarkStart w:id="173" w:name="_Toc169624736"/>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915ACD" w:rsidRPr="00382A62">
        <w:rPr>
          <w:rFonts w:cs="Arial"/>
          <w:noProof/>
          <w:szCs w:val="20"/>
        </w:rPr>
        <w:t>40</w:t>
      </w:r>
      <w:r w:rsidRPr="00382A62">
        <w:rPr>
          <w:rFonts w:cs="Arial"/>
          <w:noProof/>
          <w:szCs w:val="20"/>
        </w:rPr>
        <w:fldChar w:fldCharType="end"/>
      </w:r>
      <w:r w:rsidRPr="00382A62">
        <w:rPr>
          <w:rFonts w:cs="Arial"/>
          <w:szCs w:val="20"/>
        </w:rPr>
        <w:t xml:space="preserve"> - Principales hitos de la categoría de alimentos</w:t>
      </w:r>
      <w:bookmarkEnd w:id="173"/>
    </w:p>
    <w:tbl>
      <w:tblPr>
        <w:tblStyle w:val="Tablaconcuadrcula"/>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60"/>
        <w:gridCol w:w="8010"/>
      </w:tblGrid>
      <w:tr w:rsidR="007605E6" w:rsidRPr="00382A62" w14:paraId="4060741E" w14:textId="77777777" w:rsidTr="007D00B2">
        <w:trPr>
          <w:cantSplit/>
          <w:jc w:val="center"/>
        </w:trPr>
        <w:tc>
          <w:tcPr>
            <w:tcW w:w="2060" w:type="dxa"/>
            <w:shd w:val="clear" w:color="auto" w:fill="F2F2F2" w:themeFill="background1" w:themeFillShade="F2"/>
            <w:vAlign w:val="center"/>
          </w:tcPr>
          <w:p w14:paraId="1035BDC9" w14:textId="77777777" w:rsidR="007605E6" w:rsidRPr="00382A62" w:rsidRDefault="007605E6" w:rsidP="007D00B2">
            <w:pPr>
              <w:jc w:val="left"/>
              <w:rPr>
                <w:rFonts w:cs="Arial"/>
                <w:b/>
                <w:bCs/>
                <w:szCs w:val="20"/>
              </w:rPr>
            </w:pPr>
            <w:r w:rsidRPr="00382A62">
              <w:rPr>
                <w:rFonts w:cs="Arial"/>
                <w:b/>
                <w:bCs/>
                <w:szCs w:val="20"/>
              </w:rPr>
              <w:t>Ducal</w:t>
            </w:r>
          </w:p>
        </w:tc>
        <w:tc>
          <w:tcPr>
            <w:tcW w:w="8010" w:type="dxa"/>
            <w:vAlign w:val="center"/>
          </w:tcPr>
          <w:p w14:paraId="78BE877B" w14:textId="0A481F7F" w:rsidR="007605E6" w:rsidRPr="00382A62" w:rsidRDefault="00FD7965" w:rsidP="0099549C">
            <w:pPr>
              <w:rPr>
                <w:rFonts w:cs="Arial"/>
                <w:szCs w:val="20"/>
              </w:rPr>
            </w:pPr>
            <w:r w:rsidRPr="00382A62">
              <w:rPr>
                <w:rFonts w:eastAsia="Arial" w:cs="Arial"/>
                <w:szCs w:val="20"/>
              </w:rPr>
              <w:t>Ducal expandió su portafolio con la innovación de Frijoles Rojos Ducal con Chorizo y Tocino, una opción de comida lista para consumir. Ducal se introduce a un nuevo segmento de consumo de</w:t>
            </w:r>
            <w:r w:rsidR="0099549C">
              <w:rPr>
                <w:rFonts w:eastAsia="Arial" w:cs="Arial"/>
                <w:szCs w:val="20"/>
              </w:rPr>
              <w:t xml:space="preserve"> </w:t>
            </w:r>
            <w:r w:rsidRPr="00382A62">
              <w:rPr>
                <w:rFonts w:eastAsia="Arial" w:cs="Arial"/>
                <w:szCs w:val="20"/>
              </w:rPr>
              <w:t>frijol. La Innovación Frijoles Rojos con chorizo y tocino está disponible en Guatemala, Costa Rica y Nicaragua, con planes de expansión al resto de la región.</w:t>
            </w:r>
          </w:p>
        </w:tc>
      </w:tr>
      <w:tr w:rsidR="007605E6" w:rsidRPr="00382A62" w14:paraId="6FFAA933" w14:textId="77777777" w:rsidTr="007D00B2">
        <w:trPr>
          <w:cantSplit/>
          <w:jc w:val="center"/>
        </w:trPr>
        <w:tc>
          <w:tcPr>
            <w:tcW w:w="2060" w:type="dxa"/>
            <w:shd w:val="clear" w:color="auto" w:fill="F2F2F2" w:themeFill="background1" w:themeFillShade="F2"/>
            <w:vAlign w:val="center"/>
          </w:tcPr>
          <w:p w14:paraId="4F53753E" w14:textId="77777777" w:rsidR="007605E6" w:rsidRPr="00382A62" w:rsidRDefault="007605E6" w:rsidP="007D00B2">
            <w:pPr>
              <w:jc w:val="left"/>
              <w:rPr>
                <w:rFonts w:cs="Arial"/>
                <w:b/>
                <w:bCs/>
                <w:szCs w:val="20"/>
              </w:rPr>
            </w:pPr>
            <w:r w:rsidRPr="00382A62">
              <w:rPr>
                <w:rFonts w:cs="Arial"/>
                <w:b/>
                <w:bCs/>
                <w:szCs w:val="20"/>
              </w:rPr>
              <w:t>Kern’s</w:t>
            </w:r>
          </w:p>
        </w:tc>
        <w:tc>
          <w:tcPr>
            <w:tcW w:w="8010" w:type="dxa"/>
            <w:vAlign w:val="center"/>
          </w:tcPr>
          <w:p w14:paraId="4FC5BD44" w14:textId="0BECFD1E" w:rsidR="007605E6" w:rsidRPr="00382A62" w:rsidRDefault="00E30598" w:rsidP="00B50565">
            <w:pPr>
              <w:rPr>
                <w:rFonts w:cs="Arial"/>
                <w:szCs w:val="20"/>
              </w:rPr>
            </w:pPr>
            <w:r w:rsidRPr="00382A62">
              <w:rPr>
                <w:rFonts w:eastAsia="Arial" w:cs="Arial"/>
                <w:szCs w:val="20"/>
              </w:rPr>
              <w:t>En 2023, Kern’s cambió la imagen de sus empaques para darles uniformidad.</w:t>
            </w:r>
            <w:r w:rsidR="00B50565" w:rsidRPr="00382A62">
              <w:rPr>
                <w:rFonts w:eastAsia="Arial" w:cs="Arial"/>
                <w:szCs w:val="20"/>
              </w:rPr>
              <w:t xml:space="preserve"> Así como el consumidor evoluciona en sus gustos y preferencias, Kern’s se adaptó a las tendencias que marcan la historia de cada generación con una iconografía visual con más naturalidad y modernidad.</w:t>
            </w:r>
          </w:p>
        </w:tc>
      </w:tr>
    </w:tbl>
    <w:p w14:paraId="2AC9727D" w14:textId="77777777" w:rsidR="0099549C" w:rsidRDefault="0099549C" w:rsidP="0099549C">
      <w:pPr>
        <w:pStyle w:val="Ttulo3"/>
        <w:ind w:left="792"/>
        <w:rPr>
          <w:rFonts w:cs="Arial"/>
          <w:sz w:val="20"/>
          <w:szCs w:val="20"/>
        </w:rPr>
      </w:pPr>
      <w:bookmarkStart w:id="174" w:name="_Toc131092895"/>
      <w:bookmarkStart w:id="175" w:name="_Toc131501096"/>
    </w:p>
    <w:p w14:paraId="7E39FF03" w14:textId="3677BE39" w:rsidR="007605E6" w:rsidRPr="00382A62" w:rsidRDefault="007605E6" w:rsidP="00147CF2">
      <w:pPr>
        <w:pStyle w:val="Ttulo3"/>
        <w:numPr>
          <w:ilvl w:val="1"/>
          <w:numId w:val="28"/>
        </w:numPr>
        <w:rPr>
          <w:rFonts w:cs="Arial"/>
          <w:sz w:val="20"/>
          <w:szCs w:val="20"/>
        </w:rPr>
      </w:pPr>
      <w:bookmarkStart w:id="176" w:name="_Toc169624654"/>
      <w:r w:rsidRPr="00382A62">
        <w:rPr>
          <w:rFonts w:cs="Arial"/>
          <w:sz w:val="20"/>
          <w:szCs w:val="20"/>
        </w:rPr>
        <w:t>Florida Retail</w:t>
      </w:r>
      <w:bookmarkEnd w:id="174"/>
      <w:bookmarkEnd w:id="175"/>
      <w:bookmarkEnd w:id="176"/>
    </w:p>
    <w:p w14:paraId="4B660442" w14:textId="77777777" w:rsidR="0048068A" w:rsidRPr="00382A62" w:rsidRDefault="007605E6" w:rsidP="00780A5D">
      <w:pPr>
        <w:rPr>
          <w:rFonts w:cs="Arial"/>
          <w:szCs w:val="20"/>
        </w:rPr>
      </w:pPr>
      <w:r w:rsidRPr="00382A62">
        <w:rPr>
          <w:rFonts w:cs="Arial"/>
          <w:szCs w:val="20"/>
        </w:rPr>
        <w:t>FIFCO Retail se enfocó en redefinir las formas de operar el negocio con los Socios Franquiciados e implementó proyectos estratégicos que permiten seguir construyendo un negocio saludable y sostenible, ajustando la agenda de innovación con cada vez mayor enfoque en la salud y conveniencia.</w:t>
      </w:r>
      <w:r w:rsidR="00780A5D" w:rsidRPr="00382A62">
        <w:rPr>
          <w:rFonts w:cs="Arial"/>
          <w:szCs w:val="20"/>
        </w:rPr>
        <w:t xml:space="preserve"> </w:t>
      </w:r>
    </w:p>
    <w:p w14:paraId="23B45F79" w14:textId="24FDA4E9" w:rsidR="00E718F1" w:rsidRDefault="00780A5D" w:rsidP="00471BA2">
      <w:pPr>
        <w:rPr>
          <w:rFonts w:cs="Arial"/>
          <w:szCs w:val="20"/>
        </w:rPr>
      </w:pPr>
      <w:r w:rsidRPr="00382A62">
        <w:rPr>
          <w:rFonts w:cs="Arial"/>
          <w:szCs w:val="20"/>
        </w:rPr>
        <w:t>Alineado con los compromisos ESG, se eliminó el plástico de un solo uso en pajillas, removedores de bebidas y en todas las bolsas de empaque.</w:t>
      </w:r>
      <w:r w:rsidR="00471BA2" w:rsidRPr="00382A62">
        <w:rPr>
          <w:rFonts w:cs="Arial"/>
          <w:szCs w:val="20"/>
        </w:rPr>
        <w:t xml:space="preserve"> La bolsa tipo carry se convierte en una de las más amigables con el medio ambiente, al eliminar el plástico de un solo uso para ofrecer una nueva bolsa elaborada a base de fécula de maíz, degradable en un periodo de 6 a 8 meses.</w:t>
      </w:r>
    </w:p>
    <w:p w14:paraId="32B46327" w14:textId="77777777" w:rsidR="00E718F1" w:rsidRPr="00382A62" w:rsidRDefault="00E718F1" w:rsidP="00471BA2">
      <w:pPr>
        <w:rPr>
          <w:rFonts w:cs="Arial"/>
          <w:szCs w:val="20"/>
        </w:rPr>
      </w:pPr>
    </w:p>
    <w:p w14:paraId="166C9721" w14:textId="152554A1" w:rsidR="007605E6" w:rsidRPr="00382A62" w:rsidRDefault="007605E6" w:rsidP="007605E6">
      <w:pPr>
        <w:pStyle w:val="Descripcin"/>
        <w:rPr>
          <w:rFonts w:cs="Arial"/>
          <w:bCs/>
          <w:szCs w:val="20"/>
        </w:rPr>
      </w:pPr>
      <w:bookmarkStart w:id="177" w:name="_Toc169624737"/>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41</w:t>
      </w:r>
      <w:r w:rsidR="00423C23" w:rsidRPr="00382A62">
        <w:rPr>
          <w:rFonts w:cs="Arial"/>
          <w:noProof/>
          <w:szCs w:val="20"/>
        </w:rPr>
        <w:fldChar w:fldCharType="end"/>
      </w:r>
      <w:r w:rsidRPr="00382A62">
        <w:rPr>
          <w:rFonts w:cs="Arial"/>
          <w:szCs w:val="20"/>
        </w:rPr>
        <w:t xml:space="preserve"> - Principales hitos de Florida Retail</w:t>
      </w:r>
      <w:bookmarkEnd w:id="177"/>
    </w:p>
    <w:tbl>
      <w:tblPr>
        <w:tblStyle w:val="Tablaconcuadrcula"/>
        <w:tblW w:w="1001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44"/>
        <w:gridCol w:w="8175"/>
      </w:tblGrid>
      <w:tr w:rsidR="007605E6" w:rsidRPr="00382A62" w14:paraId="48D859A7" w14:textId="77777777" w:rsidTr="007D00B2">
        <w:trPr>
          <w:cantSplit/>
          <w:jc w:val="center"/>
        </w:trPr>
        <w:tc>
          <w:tcPr>
            <w:tcW w:w="1844" w:type="dxa"/>
            <w:shd w:val="clear" w:color="auto" w:fill="F2F2F2" w:themeFill="background1" w:themeFillShade="F2"/>
          </w:tcPr>
          <w:p w14:paraId="5EEE997D" w14:textId="77777777" w:rsidR="007605E6" w:rsidRPr="00382A62" w:rsidRDefault="007605E6" w:rsidP="007D00B2">
            <w:pPr>
              <w:spacing w:before="1320"/>
              <w:jc w:val="center"/>
              <w:rPr>
                <w:rFonts w:cs="Arial"/>
                <w:b/>
                <w:bCs/>
                <w:szCs w:val="20"/>
              </w:rPr>
            </w:pPr>
            <w:r w:rsidRPr="00382A62">
              <w:rPr>
                <w:rFonts w:cs="Arial"/>
                <w:b/>
                <w:szCs w:val="20"/>
              </w:rPr>
              <w:t>Musmanni</w:t>
            </w:r>
          </w:p>
        </w:tc>
        <w:tc>
          <w:tcPr>
            <w:tcW w:w="8175" w:type="dxa"/>
          </w:tcPr>
          <w:p w14:paraId="7F966CC9" w14:textId="053E6936" w:rsidR="007605E6" w:rsidRPr="00382A62" w:rsidRDefault="00CA2139" w:rsidP="0099549C">
            <w:pPr>
              <w:rPr>
                <w:rFonts w:eastAsia="Arial" w:cs="Arial"/>
                <w:szCs w:val="20"/>
              </w:rPr>
            </w:pPr>
            <w:r w:rsidRPr="00382A62">
              <w:rPr>
                <w:rFonts w:eastAsia="Arial" w:cs="Arial"/>
                <w:szCs w:val="20"/>
              </w:rPr>
              <w:t>El formato de panaderías retomó el crecimiento al cerrar el 2023 con +29% en ventas versus el</w:t>
            </w:r>
            <w:r w:rsidR="0099549C">
              <w:rPr>
                <w:rFonts w:eastAsia="Arial" w:cs="Arial"/>
                <w:szCs w:val="20"/>
              </w:rPr>
              <w:t xml:space="preserve"> </w:t>
            </w:r>
            <w:r w:rsidRPr="00382A62">
              <w:rPr>
                <w:rFonts w:eastAsia="Arial" w:cs="Arial"/>
                <w:szCs w:val="20"/>
              </w:rPr>
              <w:t>año anterior, gracias a su enfoque en competitividad, mejoras en la operación e innovación en productos. A partir de la nueva propuesta de valor de la marca, diseñada el año anterior, se creó la nueva tienda modelo Musmanni 2.0, dibujando el punto de venta del futuro</w:t>
            </w:r>
            <w:r w:rsidR="00EB5BB2" w:rsidRPr="00382A62">
              <w:rPr>
                <w:rFonts w:eastAsia="Arial" w:cs="Arial"/>
                <w:szCs w:val="20"/>
              </w:rPr>
              <w:t>. La meta es lograr la mejor experiencia de compra y consumo con sabor a pan y café del país, por lo que se corrió un piloto en 6 tiendas, registrando valiosos aprendizajes y se implementó de forma inicial en 100 sucursales.</w:t>
            </w:r>
            <w:r w:rsidR="00D35A28" w:rsidRPr="00382A62">
              <w:rPr>
                <w:rFonts w:cs="Arial"/>
                <w:szCs w:val="20"/>
              </w:rPr>
              <w:t xml:space="preserve"> </w:t>
            </w:r>
            <w:r w:rsidR="00D35A28" w:rsidRPr="00382A62">
              <w:rPr>
                <w:rFonts w:eastAsia="Arial" w:cs="Arial"/>
                <w:b/>
                <w:bCs/>
                <w:szCs w:val="20"/>
              </w:rPr>
              <w:t xml:space="preserve">Musmanni Ventanita, </w:t>
            </w:r>
            <w:r w:rsidR="00D35A28" w:rsidRPr="00382A62">
              <w:rPr>
                <w:rFonts w:eastAsia="Arial" w:cs="Arial"/>
                <w:szCs w:val="20"/>
              </w:rPr>
              <w:t>una versión de tienda más pequeña, con surtido limitado y desarrollado para incursionar en barrios y zonas seleccionadas estratégicamente. El año cerró con 8 aperturas de este nuevo modelo, tanto en GAM como en zona rural y se visualiza un gran potencial a futuro, pues este tipo de tienda permite ampliar la huella y velocidad de penetración en diferentes zonas.</w:t>
            </w:r>
          </w:p>
        </w:tc>
      </w:tr>
      <w:tr w:rsidR="007605E6" w:rsidRPr="00382A62" w14:paraId="6DE98AEF" w14:textId="77777777" w:rsidTr="007D00B2">
        <w:trPr>
          <w:cantSplit/>
          <w:jc w:val="center"/>
        </w:trPr>
        <w:tc>
          <w:tcPr>
            <w:tcW w:w="1844" w:type="dxa"/>
            <w:shd w:val="clear" w:color="auto" w:fill="F2F2F2" w:themeFill="background1" w:themeFillShade="F2"/>
          </w:tcPr>
          <w:p w14:paraId="2EF4252D" w14:textId="77777777" w:rsidR="007605E6" w:rsidRPr="00382A62" w:rsidRDefault="007605E6" w:rsidP="007D00B2">
            <w:pPr>
              <w:spacing w:before="1320"/>
              <w:jc w:val="center"/>
              <w:rPr>
                <w:rFonts w:cs="Arial"/>
                <w:b/>
                <w:szCs w:val="20"/>
              </w:rPr>
            </w:pPr>
            <w:r w:rsidRPr="00382A62">
              <w:rPr>
                <w:rFonts w:cs="Arial"/>
                <w:b/>
                <w:szCs w:val="20"/>
              </w:rPr>
              <w:t>Musi</w:t>
            </w:r>
          </w:p>
        </w:tc>
        <w:tc>
          <w:tcPr>
            <w:tcW w:w="8175" w:type="dxa"/>
          </w:tcPr>
          <w:p w14:paraId="0D1B5DC8" w14:textId="0EBBCC1D" w:rsidR="007605E6" w:rsidRPr="00382A62" w:rsidRDefault="00576CC2" w:rsidP="0099549C">
            <w:pPr>
              <w:rPr>
                <w:rFonts w:eastAsia="Arial" w:cs="Arial"/>
                <w:szCs w:val="20"/>
              </w:rPr>
            </w:pPr>
            <w:r w:rsidRPr="00382A62">
              <w:rPr>
                <w:rFonts w:eastAsia="Arial" w:cs="Arial"/>
                <w:szCs w:val="20"/>
              </w:rPr>
              <w:t>Luego de una reconversión en 2022, con base en la nueva propuesta de valor, de la totalidad de las tiendas y de una campaña para reposicionar la marca; en 2023 hubo un enfoque en mejorar la penetración en el mercado y en crecer tanto en el GAM (8 tiendas) como en zonas rurales estratégicas (6 tiendas), al mismo tiempo que se mejoraron los indicadores en visitas y tiquete  promedio, así como la experiencia de compra a través de consolidar la propuesta de precio justo con servicio rápido y amable. Se creció en transacciones (+15%) y en tiquete promedio (+24%), estos se</w:t>
            </w:r>
            <w:r w:rsidR="0099549C">
              <w:rPr>
                <w:rFonts w:eastAsia="Arial" w:cs="Arial"/>
                <w:szCs w:val="20"/>
              </w:rPr>
              <w:t xml:space="preserve"> </w:t>
            </w:r>
            <w:r w:rsidRPr="00382A62">
              <w:rPr>
                <w:rFonts w:eastAsia="Arial" w:cs="Arial"/>
                <w:szCs w:val="20"/>
              </w:rPr>
              <w:t>complementaron con otros ingresos comerciales para cerrar el año con +40% en ingresos totales</w:t>
            </w:r>
            <w:r w:rsidR="004736DA" w:rsidRPr="00382A62">
              <w:rPr>
                <w:rFonts w:cs="Arial"/>
                <w:szCs w:val="20"/>
              </w:rPr>
              <w:t xml:space="preserve"> </w:t>
            </w:r>
            <w:r w:rsidR="004736DA" w:rsidRPr="00382A62">
              <w:rPr>
                <w:rFonts w:eastAsia="Arial" w:cs="Arial"/>
                <w:szCs w:val="20"/>
              </w:rPr>
              <w:t>El año terminó con 14 aperturas y 61 tiendas totales, con una marca que avanza en su proceso de consolidación en el mercado y que cada año que pasa, demuestra por qué Musi es ¡el Mini Super que está en todas</w:t>
            </w:r>
            <w:r w:rsidR="00392FB4" w:rsidRPr="00382A62">
              <w:rPr>
                <w:rFonts w:eastAsia="Arial" w:cs="Arial"/>
                <w:szCs w:val="20"/>
              </w:rPr>
              <w:t>!</w:t>
            </w:r>
          </w:p>
        </w:tc>
      </w:tr>
    </w:tbl>
    <w:p w14:paraId="6862E0DD" w14:textId="77777777" w:rsidR="006B0E85" w:rsidRPr="00382A62" w:rsidRDefault="006B0E85" w:rsidP="007605E6">
      <w:pPr>
        <w:rPr>
          <w:rFonts w:cs="Arial"/>
          <w:b/>
          <w:bCs/>
          <w:szCs w:val="20"/>
        </w:rPr>
      </w:pPr>
    </w:p>
    <w:p w14:paraId="7887D18B" w14:textId="3375FA3F" w:rsidR="007605E6" w:rsidRPr="00382A62" w:rsidRDefault="007605E6" w:rsidP="00147CF2">
      <w:pPr>
        <w:pStyle w:val="Ttulo3"/>
        <w:numPr>
          <w:ilvl w:val="1"/>
          <w:numId w:val="28"/>
        </w:numPr>
        <w:rPr>
          <w:rFonts w:cs="Arial"/>
          <w:sz w:val="20"/>
          <w:szCs w:val="20"/>
        </w:rPr>
      </w:pPr>
      <w:bookmarkStart w:id="178" w:name="_Toc131092896"/>
      <w:bookmarkStart w:id="179" w:name="_Toc131501097"/>
      <w:bookmarkStart w:id="180" w:name="_Toc169624655"/>
      <w:r w:rsidRPr="00382A62">
        <w:rPr>
          <w:rFonts w:cs="Arial"/>
          <w:sz w:val="20"/>
          <w:szCs w:val="20"/>
        </w:rPr>
        <w:lastRenderedPageBreak/>
        <w:t>Florida Hospitalidad</w:t>
      </w:r>
      <w:bookmarkEnd w:id="178"/>
      <w:bookmarkEnd w:id="179"/>
      <w:bookmarkEnd w:id="180"/>
    </w:p>
    <w:p w14:paraId="0D7EAE5F" w14:textId="5959C8CC" w:rsidR="007605E6" w:rsidRPr="00382A62" w:rsidRDefault="007605E6" w:rsidP="007605E6">
      <w:pPr>
        <w:pStyle w:val="Descripcin"/>
        <w:rPr>
          <w:rFonts w:cs="Arial"/>
          <w:bCs/>
          <w:szCs w:val="20"/>
        </w:rPr>
      </w:pPr>
      <w:bookmarkStart w:id="181" w:name="_Toc169624738"/>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42</w:t>
      </w:r>
      <w:r w:rsidR="00423C23" w:rsidRPr="00382A62">
        <w:rPr>
          <w:rFonts w:cs="Arial"/>
          <w:noProof/>
          <w:szCs w:val="20"/>
        </w:rPr>
        <w:fldChar w:fldCharType="end"/>
      </w:r>
      <w:r w:rsidRPr="00382A62">
        <w:rPr>
          <w:rFonts w:cs="Arial"/>
          <w:szCs w:val="20"/>
        </w:rPr>
        <w:t xml:space="preserve"> - Principales hitos de Florida Hospitalidad</w:t>
      </w:r>
      <w:bookmarkEnd w:id="181"/>
    </w:p>
    <w:tbl>
      <w:tblPr>
        <w:tblStyle w:val="Tablaconcuadrcula"/>
        <w:tblW w:w="1004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6"/>
        <w:gridCol w:w="7920"/>
      </w:tblGrid>
      <w:tr w:rsidR="007605E6" w:rsidRPr="00382A62" w14:paraId="51D2B9D6" w14:textId="77777777" w:rsidTr="007D00B2">
        <w:trPr>
          <w:cantSplit/>
          <w:jc w:val="center"/>
        </w:trPr>
        <w:tc>
          <w:tcPr>
            <w:tcW w:w="2126" w:type="dxa"/>
            <w:shd w:val="clear" w:color="auto" w:fill="F2F2F2" w:themeFill="background1" w:themeFillShade="F2"/>
            <w:vAlign w:val="center"/>
          </w:tcPr>
          <w:p w14:paraId="4FF42324" w14:textId="77777777" w:rsidR="007605E6" w:rsidRPr="00382A62" w:rsidRDefault="007605E6" w:rsidP="007D00B2">
            <w:pPr>
              <w:jc w:val="left"/>
              <w:rPr>
                <w:rFonts w:cs="Arial"/>
                <w:b/>
                <w:bCs/>
                <w:szCs w:val="20"/>
              </w:rPr>
            </w:pPr>
            <w:r w:rsidRPr="00382A62">
              <w:rPr>
                <w:rFonts w:cs="Arial"/>
                <w:b/>
                <w:bCs/>
                <w:szCs w:val="20"/>
              </w:rPr>
              <w:t>Hoteles</w:t>
            </w:r>
          </w:p>
        </w:tc>
        <w:tc>
          <w:tcPr>
            <w:tcW w:w="7920" w:type="dxa"/>
            <w:vAlign w:val="center"/>
          </w:tcPr>
          <w:p w14:paraId="6B02C732" w14:textId="5E7F836B" w:rsidR="00D23B4B" w:rsidRPr="00382A62" w:rsidRDefault="00D23B4B" w:rsidP="00D23B4B">
            <w:pPr>
              <w:rPr>
                <w:rFonts w:eastAsia="Arial" w:cs="Arial"/>
                <w:szCs w:val="20"/>
              </w:rPr>
            </w:pPr>
            <w:r w:rsidRPr="00382A62">
              <w:rPr>
                <w:rFonts w:eastAsia="Arial" w:cs="Arial"/>
                <w:szCs w:val="20"/>
                <w:lang w:val="es-419"/>
              </w:rPr>
              <w:t xml:space="preserve">El Hotel Westin Reserva Conchal an All-Inclusive Golf Resort &amp; Spa, y el Hotel W </w:t>
            </w:r>
            <w:r w:rsidRPr="00382A62">
              <w:rPr>
                <w:rFonts w:eastAsia="Arial" w:cs="Arial"/>
                <w:szCs w:val="20"/>
              </w:rPr>
              <w:t>Costa Rica - Reserva Conchal, tuvieron una alta visitación y mantuvieron los altos estándares de calidad para satisfacción de los huéspedes.</w:t>
            </w:r>
          </w:p>
          <w:p w14:paraId="1C1F8CE2" w14:textId="532C1416" w:rsidR="00D23B4B" w:rsidRPr="00382A62" w:rsidRDefault="00D23B4B" w:rsidP="00D23B4B">
            <w:pPr>
              <w:rPr>
                <w:rFonts w:eastAsia="Arial" w:cs="Arial"/>
                <w:szCs w:val="20"/>
              </w:rPr>
            </w:pPr>
            <w:r w:rsidRPr="00382A62">
              <w:rPr>
                <w:rFonts w:eastAsia="Arial" w:cs="Arial"/>
                <w:szCs w:val="20"/>
              </w:rPr>
              <w:t>Se continuó con el proceso de remodelación del Hotel Westin, se renovó el Centro de Convenciones, habitaciones y áreas públicas del Westin Club, el restaurante Faisanela y el Spa, con los estándares definidos por la marca. El proceso de remodelación continuará durante en el 2024 en su última etapa.</w:t>
            </w:r>
          </w:p>
          <w:p w14:paraId="46E171AC" w14:textId="1C9CA2E3" w:rsidR="007605E6" w:rsidRPr="00382A62" w:rsidRDefault="00D23B4B" w:rsidP="00D23B4B">
            <w:pPr>
              <w:rPr>
                <w:rFonts w:cs="Arial"/>
                <w:szCs w:val="20"/>
              </w:rPr>
            </w:pPr>
            <w:r w:rsidRPr="00382A62">
              <w:rPr>
                <w:rFonts w:eastAsia="Arial" w:cs="Arial"/>
                <w:szCs w:val="20"/>
              </w:rPr>
              <w:t>Ambos hoteles lograron un porcentaje de ocupación y una tarifa mayores a las obtenidas durante el 2022, generando resultados récord para el negocio.</w:t>
            </w:r>
          </w:p>
        </w:tc>
      </w:tr>
      <w:tr w:rsidR="007605E6" w:rsidRPr="00382A62" w14:paraId="6CE4C815" w14:textId="77777777" w:rsidTr="007D00B2">
        <w:trPr>
          <w:cantSplit/>
          <w:jc w:val="center"/>
        </w:trPr>
        <w:tc>
          <w:tcPr>
            <w:tcW w:w="2126" w:type="dxa"/>
            <w:shd w:val="clear" w:color="auto" w:fill="F2F2F2" w:themeFill="background1" w:themeFillShade="F2"/>
            <w:vAlign w:val="center"/>
          </w:tcPr>
          <w:p w14:paraId="1C30253B" w14:textId="0DA7DB79" w:rsidR="007605E6" w:rsidRPr="00382A62" w:rsidRDefault="007605E6" w:rsidP="007D00B2">
            <w:pPr>
              <w:jc w:val="left"/>
              <w:rPr>
                <w:rFonts w:cs="Arial"/>
                <w:b/>
                <w:bCs/>
                <w:szCs w:val="20"/>
              </w:rPr>
            </w:pPr>
            <w:r w:rsidRPr="00382A62">
              <w:rPr>
                <w:rFonts w:cs="Arial"/>
                <w:b/>
                <w:bCs/>
                <w:szCs w:val="20"/>
              </w:rPr>
              <w:t>Reserva Conchal</w:t>
            </w:r>
            <w:r w:rsidR="006B0E85" w:rsidRPr="00382A62">
              <w:rPr>
                <w:rFonts w:cs="Arial"/>
                <w:b/>
                <w:bCs/>
                <w:szCs w:val="20"/>
              </w:rPr>
              <w:t xml:space="preserve">: </w:t>
            </w:r>
            <w:r w:rsidRPr="00382A62">
              <w:rPr>
                <w:rFonts w:cs="Arial"/>
                <w:b/>
                <w:bCs/>
                <w:szCs w:val="20"/>
              </w:rPr>
              <w:t>proyecto inmobiliario</w:t>
            </w:r>
          </w:p>
        </w:tc>
        <w:tc>
          <w:tcPr>
            <w:tcW w:w="7920" w:type="dxa"/>
            <w:vAlign w:val="center"/>
          </w:tcPr>
          <w:p w14:paraId="7E10FDC7" w14:textId="77F7EAD6" w:rsidR="007605E6" w:rsidRPr="00382A62" w:rsidRDefault="00457557" w:rsidP="00C55BEC">
            <w:pPr>
              <w:rPr>
                <w:rFonts w:eastAsia="Arial" w:cs="Arial"/>
                <w:szCs w:val="20"/>
              </w:rPr>
            </w:pPr>
            <w:r w:rsidRPr="00382A62">
              <w:rPr>
                <w:rFonts w:eastAsia="Arial" w:cs="Arial"/>
                <w:szCs w:val="20"/>
              </w:rPr>
              <w:t>Se aprobó la revisión del plan maestro de Reserva Conchal, con la proyección de ventas de producto inmobiliario a 10 años</w:t>
            </w:r>
            <w:r w:rsidR="001519D9" w:rsidRPr="00382A62">
              <w:rPr>
                <w:rFonts w:eastAsia="Arial" w:cs="Arial"/>
                <w:szCs w:val="20"/>
              </w:rPr>
              <w:t>.</w:t>
            </w:r>
            <w:r w:rsidR="001519D9" w:rsidRPr="00382A62">
              <w:rPr>
                <w:rFonts w:cs="Arial"/>
                <w:szCs w:val="20"/>
              </w:rPr>
              <w:t xml:space="preserve"> </w:t>
            </w:r>
            <w:r w:rsidR="001519D9" w:rsidRPr="00382A62">
              <w:rPr>
                <w:rFonts w:eastAsia="Arial" w:cs="Arial"/>
                <w:szCs w:val="20"/>
              </w:rPr>
              <w:t>Se concretó la venta de las parcelas de desarrollo (DPs) Solaris Fase III &amp; IV, Sanara Fase I.</w:t>
            </w:r>
            <w:r w:rsidR="00002847" w:rsidRPr="00382A62">
              <w:rPr>
                <w:rFonts w:cs="Arial"/>
                <w:szCs w:val="20"/>
              </w:rPr>
              <w:t xml:space="preserve"> </w:t>
            </w:r>
            <w:r w:rsidR="00002847" w:rsidRPr="00382A62">
              <w:rPr>
                <w:rFonts w:eastAsia="Arial" w:cs="Arial"/>
                <w:szCs w:val="20"/>
              </w:rPr>
              <w:t>Se realizó la comercialización y venta de 17 lotes en el Residencial Sauco, parcela de desarrollo vendida a un tercero y comercializada por Reserva</w:t>
            </w:r>
            <w:r w:rsidR="00B65C17" w:rsidRPr="00382A62">
              <w:rPr>
                <w:rFonts w:eastAsia="Arial" w:cs="Arial"/>
                <w:szCs w:val="20"/>
              </w:rPr>
              <w:t xml:space="preserve"> </w:t>
            </w:r>
            <w:r w:rsidR="00002847" w:rsidRPr="00382A62">
              <w:rPr>
                <w:rFonts w:eastAsia="Arial" w:cs="Arial"/>
                <w:szCs w:val="20"/>
              </w:rPr>
              <w:t>Conchal.</w:t>
            </w:r>
            <w:r w:rsidR="00B65C17" w:rsidRPr="00382A62">
              <w:rPr>
                <w:rFonts w:cs="Arial"/>
                <w:szCs w:val="20"/>
              </w:rPr>
              <w:t xml:space="preserve"> </w:t>
            </w:r>
            <w:r w:rsidR="00B65C17" w:rsidRPr="00382A62">
              <w:rPr>
                <w:rFonts w:eastAsia="Arial" w:cs="Arial"/>
                <w:szCs w:val="20"/>
              </w:rPr>
              <w:t>Se inició la comercialización de la primera fase del residencial Sanara (propiedad de un tercero)</w:t>
            </w:r>
            <w:r w:rsidR="00C55BEC">
              <w:rPr>
                <w:rFonts w:eastAsia="Arial" w:cs="Arial"/>
                <w:szCs w:val="20"/>
              </w:rPr>
              <w:t xml:space="preserve"> </w:t>
            </w:r>
            <w:r w:rsidR="00B65C17" w:rsidRPr="00382A62">
              <w:rPr>
                <w:rFonts w:eastAsia="Arial" w:cs="Arial"/>
                <w:szCs w:val="20"/>
              </w:rPr>
              <w:t>con 20 residencias reservadas.</w:t>
            </w:r>
            <w:r w:rsidR="00B65C17" w:rsidRPr="00382A62">
              <w:rPr>
                <w:rFonts w:cs="Arial"/>
                <w:szCs w:val="20"/>
              </w:rPr>
              <w:t xml:space="preserve"> </w:t>
            </w:r>
            <w:r w:rsidR="00B65C17" w:rsidRPr="00382A62">
              <w:rPr>
                <w:rFonts w:eastAsia="Arial" w:cs="Arial"/>
                <w:szCs w:val="20"/>
              </w:rPr>
              <w:t>Se vendieron 4 lotes del residencial W Residences.</w:t>
            </w:r>
          </w:p>
        </w:tc>
      </w:tr>
      <w:tr w:rsidR="00C71389" w:rsidRPr="00382A62" w14:paraId="7360F783" w14:textId="77777777" w:rsidTr="007D00B2">
        <w:trPr>
          <w:cantSplit/>
          <w:jc w:val="center"/>
        </w:trPr>
        <w:tc>
          <w:tcPr>
            <w:tcW w:w="2126" w:type="dxa"/>
            <w:shd w:val="clear" w:color="auto" w:fill="F2F2F2" w:themeFill="background1" w:themeFillShade="F2"/>
            <w:vAlign w:val="center"/>
          </w:tcPr>
          <w:p w14:paraId="5F2AD3C1" w14:textId="1BCA662E" w:rsidR="00C71389" w:rsidRPr="00382A62" w:rsidRDefault="00C71389" w:rsidP="007D00B2">
            <w:pPr>
              <w:jc w:val="left"/>
              <w:rPr>
                <w:rFonts w:cs="Arial"/>
                <w:b/>
                <w:bCs/>
                <w:szCs w:val="20"/>
              </w:rPr>
            </w:pPr>
            <w:r w:rsidRPr="00382A62">
              <w:rPr>
                <w:rFonts w:cs="Arial"/>
                <w:b/>
                <w:bCs/>
                <w:szCs w:val="20"/>
              </w:rPr>
              <w:t>Golf y Club de Playa</w:t>
            </w:r>
          </w:p>
        </w:tc>
        <w:tc>
          <w:tcPr>
            <w:tcW w:w="7920" w:type="dxa"/>
            <w:vAlign w:val="center"/>
          </w:tcPr>
          <w:p w14:paraId="090A836F" w14:textId="790F0D36" w:rsidR="00C71389" w:rsidRPr="00382A62" w:rsidRDefault="006C30EF" w:rsidP="00C55BEC">
            <w:pPr>
              <w:rPr>
                <w:rFonts w:eastAsia="Arial" w:cs="Arial"/>
                <w:szCs w:val="20"/>
                <w:lang w:val="es-419"/>
              </w:rPr>
            </w:pPr>
            <w:r w:rsidRPr="00382A62">
              <w:rPr>
                <w:rFonts w:eastAsia="Arial" w:cs="Arial"/>
                <w:szCs w:val="20"/>
              </w:rPr>
              <w:t>Durante el 2023 el Club de Playa, operado por Troon International, tuvo una alta visitación, logrando una mejora significativa en sus ventas. Resultados récord para el negocio de Golf, debido al incremento del tráfico de jugadores gracias al excelente estado de conservación y mejoras en la operación.</w:t>
            </w:r>
            <w:r w:rsidR="004C1914" w:rsidRPr="00382A62">
              <w:rPr>
                <w:rFonts w:cs="Arial"/>
                <w:szCs w:val="20"/>
              </w:rPr>
              <w:t xml:space="preserve"> </w:t>
            </w:r>
            <w:r w:rsidR="004C1914" w:rsidRPr="00382A62">
              <w:rPr>
                <w:rFonts w:eastAsia="Arial" w:cs="Arial"/>
                <w:szCs w:val="20"/>
              </w:rPr>
              <w:t>El campo de golf recibió por tercer año consecutivo el premio de “Mejor</w:t>
            </w:r>
            <w:r w:rsidR="00C55BEC">
              <w:rPr>
                <w:rFonts w:eastAsia="Arial" w:cs="Arial"/>
                <w:szCs w:val="20"/>
              </w:rPr>
              <w:t xml:space="preserve"> </w:t>
            </w:r>
            <w:r w:rsidR="004C1914" w:rsidRPr="00382A62">
              <w:rPr>
                <w:rFonts w:eastAsia="Arial" w:cs="Arial"/>
                <w:szCs w:val="20"/>
              </w:rPr>
              <w:t xml:space="preserve">Campo de Golf de Costa Rica 2023” </w:t>
            </w:r>
            <w:r w:rsidR="004C1914" w:rsidRPr="00382A62">
              <w:rPr>
                <w:rFonts w:eastAsia="Arial" w:cs="Arial"/>
                <w:szCs w:val="20"/>
                <w:lang w:val="es-419"/>
              </w:rPr>
              <w:t>por parte de World Golf Awards.</w:t>
            </w:r>
          </w:p>
        </w:tc>
      </w:tr>
      <w:tr w:rsidR="007605E6" w:rsidRPr="00382A62" w14:paraId="3F2B08E8" w14:textId="77777777" w:rsidTr="007D00B2">
        <w:trPr>
          <w:cantSplit/>
          <w:jc w:val="center"/>
        </w:trPr>
        <w:tc>
          <w:tcPr>
            <w:tcW w:w="2126" w:type="dxa"/>
            <w:shd w:val="clear" w:color="auto" w:fill="F2F2F2" w:themeFill="background1" w:themeFillShade="F2"/>
            <w:vAlign w:val="center"/>
          </w:tcPr>
          <w:p w14:paraId="1FDCB329" w14:textId="77777777" w:rsidR="007605E6" w:rsidRPr="00382A62" w:rsidRDefault="007605E6" w:rsidP="007D00B2">
            <w:pPr>
              <w:jc w:val="left"/>
              <w:rPr>
                <w:rFonts w:cs="Arial"/>
                <w:b/>
                <w:bCs/>
                <w:szCs w:val="20"/>
              </w:rPr>
            </w:pPr>
            <w:r w:rsidRPr="00382A62">
              <w:rPr>
                <w:rFonts w:cs="Arial"/>
                <w:b/>
                <w:bCs/>
                <w:szCs w:val="20"/>
              </w:rPr>
              <w:t>RePUBlica Casa Cervecera</w:t>
            </w:r>
          </w:p>
        </w:tc>
        <w:tc>
          <w:tcPr>
            <w:tcW w:w="7920" w:type="dxa"/>
            <w:vAlign w:val="center"/>
          </w:tcPr>
          <w:p w14:paraId="70D1E42A" w14:textId="2008966E" w:rsidR="007605E6" w:rsidRPr="00382A62" w:rsidRDefault="004C1914" w:rsidP="0037792B">
            <w:pPr>
              <w:rPr>
                <w:rFonts w:cs="Arial"/>
                <w:szCs w:val="20"/>
              </w:rPr>
            </w:pPr>
            <w:r w:rsidRPr="00382A62">
              <w:rPr>
                <w:rFonts w:cs="Arial"/>
                <w:szCs w:val="20"/>
              </w:rPr>
              <w:t>Progreso en la operación de los 3 locales, logrando una mejora en sus ventas en comparación</w:t>
            </w:r>
            <w:r w:rsidR="0037792B">
              <w:rPr>
                <w:rFonts w:cs="Arial"/>
                <w:szCs w:val="20"/>
              </w:rPr>
              <w:t xml:space="preserve"> </w:t>
            </w:r>
            <w:r w:rsidRPr="00382A62">
              <w:rPr>
                <w:rFonts w:cs="Arial"/>
                <w:szCs w:val="20"/>
              </w:rPr>
              <w:t>con el año 2022. Utilidad afectada por incremento de costos y gastos. Se preparó un plan de</w:t>
            </w:r>
            <w:r w:rsidR="0037792B">
              <w:rPr>
                <w:rFonts w:cs="Arial"/>
                <w:szCs w:val="20"/>
              </w:rPr>
              <w:t xml:space="preserve"> </w:t>
            </w:r>
            <w:r w:rsidRPr="00382A62">
              <w:rPr>
                <w:rFonts w:cs="Arial"/>
                <w:szCs w:val="20"/>
              </w:rPr>
              <w:t>crecimiento para el negocio.</w:t>
            </w:r>
          </w:p>
        </w:tc>
      </w:tr>
    </w:tbl>
    <w:p w14:paraId="50C01F5D" w14:textId="77777777" w:rsidR="008B2456" w:rsidRDefault="008B2456" w:rsidP="007605E6">
      <w:pPr>
        <w:rPr>
          <w:rFonts w:cs="Arial"/>
          <w:b/>
          <w:bCs/>
          <w:szCs w:val="20"/>
        </w:rPr>
      </w:pPr>
    </w:p>
    <w:p w14:paraId="6F36DF35" w14:textId="77777777" w:rsidR="00C55BEC" w:rsidRDefault="00C55BEC" w:rsidP="007605E6">
      <w:pPr>
        <w:rPr>
          <w:rFonts w:cs="Arial"/>
          <w:b/>
          <w:bCs/>
          <w:szCs w:val="20"/>
        </w:rPr>
      </w:pPr>
    </w:p>
    <w:p w14:paraId="402741A2" w14:textId="77777777" w:rsidR="00C55BEC" w:rsidRDefault="00C55BEC" w:rsidP="007605E6">
      <w:pPr>
        <w:rPr>
          <w:rFonts w:cs="Arial"/>
          <w:b/>
          <w:bCs/>
          <w:szCs w:val="20"/>
        </w:rPr>
      </w:pPr>
    </w:p>
    <w:p w14:paraId="60D39351" w14:textId="77777777" w:rsidR="00C55BEC" w:rsidRDefault="00C55BEC" w:rsidP="007605E6">
      <w:pPr>
        <w:rPr>
          <w:rFonts w:cs="Arial"/>
          <w:b/>
          <w:bCs/>
          <w:szCs w:val="20"/>
        </w:rPr>
      </w:pPr>
    </w:p>
    <w:p w14:paraId="5E2541A8" w14:textId="77777777" w:rsidR="00C55BEC" w:rsidRDefault="00C55BEC" w:rsidP="007605E6">
      <w:pPr>
        <w:rPr>
          <w:rFonts w:cs="Arial"/>
          <w:b/>
          <w:bCs/>
          <w:szCs w:val="20"/>
        </w:rPr>
      </w:pPr>
    </w:p>
    <w:p w14:paraId="50FBB195" w14:textId="77777777" w:rsidR="00C55BEC" w:rsidRDefault="00C55BEC" w:rsidP="007605E6">
      <w:pPr>
        <w:rPr>
          <w:rFonts w:cs="Arial"/>
          <w:b/>
          <w:bCs/>
          <w:szCs w:val="20"/>
        </w:rPr>
      </w:pPr>
    </w:p>
    <w:p w14:paraId="632F9D2C" w14:textId="77777777" w:rsidR="007605E6" w:rsidRPr="00382A62" w:rsidRDefault="007605E6" w:rsidP="00147CF2">
      <w:pPr>
        <w:pStyle w:val="Ttulo3"/>
        <w:numPr>
          <w:ilvl w:val="1"/>
          <w:numId w:val="28"/>
        </w:numPr>
        <w:rPr>
          <w:rFonts w:cs="Arial"/>
          <w:sz w:val="20"/>
          <w:szCs w:val="20"/>
        </w:rPr>
      </w:pPr>
      <w:bookmarkStart w:id="182" w:name="_Toc131092897"/>
      <w:bookmarkStart w:id="183" w:name="_Toc131501098"/>
      <w:bookmarkStart w:id="184" w:name="_Toc169624656"/>
      <w:r w:rsidRPr="00382A62">
        <w:rPr>
          <w:rFonts w:cs="Arial"/>
          <w:sz w:val="20"/>
          <w:szCs w:val="20"/>
        </w:rPr>
        <w:lastRenderedPageBreak/>
        <w:t>Florida Capitales</w:t>
      </w:r>
      <w:bookmarkEnd w:id="182"/>
      <w:bookmarkEnd w:id="183"/>
      <w:bookmarkEnd w:id="184"/>
    </w:p>
    <w:p w14:paraId="34AD8FCE" w14:textId="483CAC50" w:rsidR="007605E6" w:rsidRPr="00382A62" w:rsidRDefault="007605E6" w:rsidP="007605E6">
      <w:pPr>
        <w:pStyle w:val="Descripcin"/>
        <w:rPr>
          <w:rFonts w:cs="Arial"/>
          <w:bCs/>
          <w:szCs w:val="20"/>
        </w:rPr>
      </w:pPr>
      <w:bookmarkStart w:id="185" w:name="_Toc169624739"/>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43</w:t>
      </w:r>
      <w:r w:rsidR="00423C23" w:rsidRPr="00382A62">
        <w:rPr>
          <w:rFonts w:cs="Arial"/>
          <w:noProof/>
          <w:szCs w:val="20"/>
        </w:rPr>
        <w:fldChar w:fldCharType="end"/>
      </w:r>
      <w:r w:rsidRPr="00382A62">
        <w:rPr>
          <w:rFonts w:cs="Arial"/>
          <w:szCs w:val="20"/>
        </w:rPr>
        <w:t xml:space="preserve"> - Principales hitos de Florida Capitales</w:t>
      </w:r>
      <w:bookmarkEnd w:id="185"/>
    </w:p>
    <w:tbl>
      <w:tblPr>
        <w:tblStyle w:val="Tablaconcuadrcula"/>
        <w:tblW w:w="1006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7942"/>
      </w:tblGrid>
      <w:tr w:rsidR="007605E6" w:rsidRPr="00382A62" w14:paraId="20E63280" w14:textId="77777777" w:rsidTr="007D00B2">
        <w:trPr>
          <w:cantSplit/>
          <w:jc w:val="center"/>
        </w:trPr>
        <w:tc>
          <w:tcPr>
            <w:tcW w:w="2122" w:type="dxa"/>
            <w:shd w:val="clear" w:color="auto" w:fill="F2F2F2" w:themeFill="background1" w:themeFillShade="F2"/>
            <w:vAlign w:val="center"/>
          </w:tcPr>
          <w:p w14:paraId="01729E1E" w14:textId="77777777" w:rsidR="007605E6" w:rsidRPr="00382A62" w:rsidRDefault="007605E6" w:rsidP="007D00B2">
            <w:pPr>
              <w:jc w:val="left"/>
              <w:rPr>
                <w:rFonts w:cs="Arial"/>
                <w:b/>
                <w:bCs/>
                <w:szCs w:val="20"/>
              </w:rPr>
            </w:pPr>
            <w:r w:rsidRPr="00382A62">
              <w:rPr>
                <w:rFonts w:cs="Arial"/>
                <w:b/>
                <w:bCs/>
                <w:szCs w:val="20"/>
              </w:rPr>
              <w:t>Cervecería Panamá</w:t>
            </w:r>
          </w:p>
        </w:tc>
        <w:tc>
          <w:tcPr>
            <w:tcW w:w="7942" w:type="dxa"/>
            <w:vAlign w:val="center"/>
          </w:tcPr>
          <w:p w14:paraId="252894EE" w14:textId="640E1164" w:rsidR="007605E6" w:rsidRPr="00382A62" w:rsidRDefault="00DF1733" w:rsidP="00DF1733">
            <w:pPr>
              <w:rPr>
                <w:rFonts w:cs="Arial"/>
                <w:szCs w:val="20"/>
              </w:rPr>
            </w:pPr>
            <w:r w:rsidRPr="00382A62">
              <w:rPr>
                <w:rFonts w:eastAsia="Arial" w:cs="Arial"/>
                <w:szCs w:val="20"/>
              </w:rPr>
              <w:t>Aumento en volumen y participación de mercado, neto de mayor inversión en mercadeo y gastos de operación.</w:t>
            </w:r>
          </w:p>
        </w:tc>
      </w:tr>
      <w:tr w:rsidR="007605E6" w:rsidRPr="00382A62" w14:paraId="76192046" w14:textId="77777777" w:rsidTr="007D00B2">
        <w:trPr>
          <w:cantSplit/>
          <w:jc w:val="center"/>
        </w:trPr>
        <w:tc>
          <w:tcPr>
            <w:tcW w:w="2122" w:type="dxa"/>
            <w:shd w:val="clear" w:color="auto" w:fill="F2F2F2" w:themeFill="background1" w:themeFillShade="F2"/>
            <w:vAlign w:val="center"/>
          </w:tcPr>
          <w:p w14:paraId="3A2C14C8" w14:textId="77777777" w:rsidR="007605E6" w:rsidRPr="00382A62" w:rsidRDefault="007605E6" w:rsidP="007D00B2">
            <w:pPr>
              <w:jc w:val="left"/>
              <w:rPr>
                <w:rFonts w:cs="Arial"/>
                <w:b/>
                <w:bCs/>
                <w:szCs w:val="20"/>
              </w:rPr>
            </w:pPr>
            <w:r w:rsidRPr="00382A62">
              <w:rPr>
                <w:rFonts w:cs="Arial"/>
                <w:b/>
                <w:bCs/>
                <w:szCs w:val="20"/>
              </w:rPr>
              <w:t>INCECA – Nicaragua</w:t>
            </w:r>
          </w:p>
        </w:tc>
        <w:tc>
          <w:tcPr>
            <w:tcW w:w="7942" w:type="dxa"/>
            <w:vAlign w:val="center"/>
          </w:tcPr>
          <w:p w14:paraId="4826084C" w14:textId="5D00EDA0" w:rsidR="007605E6" w:rsidRPr="00382A62" w:rsidRDefault="0061499C" w:rsidP="0061499C">
            <w:pPr>
              <w:rPr>
                <w:rFonts w:cs="Arial"/>
                <w:szCs w:val="20"/>
              </w:rPr>
            </w:pPr>
            <w:r w:rsidRPr="00382A62">
              <w:rPr>
                <w:rFonts w:cs="Arial"/>
                <w:szCs w:val="20"/>
              </w:rPr>
              <w:t>Crecimiento de todas las categorías de bebidas con aumento en la rentabilidad.</w:t>
            </w:r>
          </w:p>
        </w:tc>
      </w:tr>
      <w:tr w:rsidR="007605E6" w:rsidRPr="00382A62" w14:paraId="282710BA" w14:textId="77777777" w:rsidTr="007D00B2">
        <w:trPr>
          <w:cantSplit/>
          <w:jc w:val="center"/>
        </w:trPr>
        <w:tc>
          <w:tcPr>
            <w:tcW w:w="2122" w:type="dxa"/>
            <w:shd w:val="clear" w:color="auto" w:fill="F2F2F2" w:themeFill="background1" w:themeFillShade="F2"/>
            <w:vAlign w:val="center"/>
          </w:tcPr>
          <w:p w14:paraId="3CF82760" w14:textId="77777777" w:rsidR="007605E6" w:rsidRPr="00382A62" w:rsidRDefault="007605E6" w:rsidP="007D00B2">
            <w:pPr>
              <w:jc w:val="left"/>
              <w:rPr>
                <w:rFonts w:cs="Arial"/>
                <w:b/>
                <w:bCs/>
                <w:szCs w:val="20"/>
              </w:rPr>
            </w:pPr>
            <w:r w:rsidRPr="00382A62">
              <w:rPr>
                <w:rFonts w:cs="Arial"/>
                <w:b/>
                <w:bCs/>
                <w:szCs w:val="20"/>
              </w:rPr>
              <w:t>Comegua</w:t>
            </w:r>
          </w:p>
        </w:tc>
        <w:tc>
          <w:tcPr>
            <w:tcW w:w="7942" w:type="dxa"/>
            <w:vAlign w:val="center"/>
          </w:tcPr>
          <w:p w14:paraId="170B50CA" w14:textId="015204F2" w:rsidR="007605E6" w:rsidRPr="00382A62" w:rsidRDefault="0061499C" w:rsidP="0061499C">
            <w:pPr>
              <w:rPr>
                <w:rFonts w:cs="Arial"/>
                <w:szCs w:val="20"/>
              </w:rPr>
            </w:pPr>
            <w:r w:rsidRPr="00382A62">
              <w:rPr>
                <w:rFonts w:eastAsia="Arial" w:cs="Arial"/>
                <w:szCs w:val="20"/>
              </w:rPr>
              <w:t>Menores exportaciones y efecto de reparaciones con menor gasto operativo y financiero.</w:t>
            </w:r>
          </w:p>
        </w:tc>
      </w:tr>
    </w:tbl>
    <w:p w14:paraId="080E7692" w14:textId="77777777" w:rsidR="002A1FAB" w:rsidRPr="00382A62" w:rsidRDefault="002A1FAB" w:rsidP="007605E6">
      <w:pPr>
        <w:rPr>
          <w:rFonts w:cs="Arial"/>
          <w:szCs w:val="20"/>
        </w:rPr>
      </w:pPr>
    </w:p>
    <w:p w14:paraId="510A5C21" w14:textId="77777777" w:rsidR="007605E6" w:rsidRPr="00382A62" w:rsidRDefault="007605E6" w:rsidP="00147CF2">
      <w:pPr>
        <w:pStyle w:val="Ttulo3"/>
        <w:numPr>
          <w:ilvl w:val="1"/>
          <w:numId w:val="28"/>
        </w:numPr>
        <w:rPr>
          <w:rFonts w:cs="Arial"/>
          <w:sz w:val="20"/>
          <w:szCs w:val="20"/>
        </w:rPr>
      </w:pPr>
      <w:bookmarkStart w:id="186" w:name="_Toc131092898"/>
      <w:bookmarkStart w:id="187" w:name="_Toc131501099"/>
      <w:bookmarkStart w:id="188" w:name="_Toc169624657"/>
      <w:r w:rsidRPr="00382A62">
        <w:rPr>
          <w:rFonts w:cs="Arial"/>
          <w:sz w:val="20"/>
          <w:szCs w:val="20"/>
        </w:rPr>
        <w:t>Otros resultados de operación</w:t>
      </w:r>
      <w:bookmarkEnd w:id="186"/>
      <w:bookmarkEnd w:id="187"/>
      <w:bookmarkEnd w:id="188"/>
    </w:p>
    <w:p w14:paraId="25629A53" w14:textId="781F8298" w:rsidR="00EC7E23" w:rsidRPr="00382A62" w:rsidRDefault="00EC7E23" w:rsidP="00756462">
      <w:pPr>
        <w:pStyle w:val="Prrafodelista"/>
        <w:numPr>
          <w:ilvl w:val="0"/>
          <w:numId w:val="55"/>
        </w:numPr>
        <w:rPr>
          <w:rFonts w:eastAsia="Arial" w:cs="Arial"/>
          <w:b/>
          <w:szCs w:val="20"/>
        </w:rPr>
      </w:pPr>
      <w:r w:rsidRPr="00382A62">
        <w:rPr>
          <w:rFonts w:eastAsia="Arial" w:cs="Arial"/>
          <w:b/>
          <w:szCs w:val="20"/>
        </w:rPr>
        <w:t>Calidad e inocuidad</w:t>
      </w:r>
    </w:p>
    <w:p w14:paraId="7E4123CA" w14:textId="235C4227" w:rsidR="007605E6" w:rsidRPr="00382A62" w:rsidRDefault="007605E6" w:rsidP="007605E6">
      <w:pPr>
        <w:rPr>
          <w:rFonts w:cs="Arial"/>
          <w:szCs w:val="20"/>
        </w:rPr>
      </w:pPr>
      <w:r w:rsidRPr="00382A62">
        <w:rPr>
          <w:rFonts w:cs="Arial"/>
          <w:szCs w:val="20"/>
        </w:rPr>
        <w:t>El 100% de los productos que produce FIFCO son evaluados para verificar su impacto en la salud y seguridad de los consumidores. Estas evaluaciones son realizadas mediante:</w:t>
      </w:r>
    </w:p>
    <w:p w14:paraId="565C9497" w14:textId="79AD3B5D" w:rsidR="003D0226" w:rsidRPr="00382A62" w:rsidRDefault="003D0226" w:rsidP="0003040E">
      <w:pPr>
        <w:pStyle w:val="Prrafodelista"/>
        <w:numPr>
          <w:ilvl w:val="0"/>
          <w:numId w:val="53"/>
        </w:numPr>
        <w:rPr>
          <w:rFonts w:cs="Arial"/>
          <w:szCs w:val="20"/>
          <w:lang w:val="en-US"/>
        </w:rPr>
      </w:pPr>
      <w:r w:rsidRPr="00382A62">
        <w:rPr>
          <w:rFonts w:cs="Arial"/>
          <w:szCs w:val="20"/>
        </w:rPr>
        <w:t xml:space="preserve">Auditorías internas y externas de socios </w:t>
      </w:r>
      <w:r w:rsidRPr="00382A62">
        <w:rPr>
          <w:rFonts w:cs="Arial"/>
          <w:szCs w:val="20"/>
          <w:lang w:val="es-419"/>
        </w:rPr>
        <w:t xml:space="preserve">comerciales como Heineken con LSS (Laboratory Star System) y HPQ (Heineken Prowcess and Quality). </w:t>
      </w:r>
      <w:r w:rsidRPr="00382A62">
        <w:rPr>
          <w:rFonts w:cs="Arial"/>
          <w:szCs w:val="20"/>
          <w:lang w:val="en-US"/>
        </w:rPr>
        <w:t>Diageo con LTO (Licences to Operate) y PepsiCo con AIB International, FSM (Food Safety Mandates) y QAS (Quality Audit System).</w:t>
      </w:r>
    </w:p>
    <w:p w14:paraId="182F9D7D" w14:textId="60021754" w:rsidR="005750AE" w:rsidRPr="00382A62" w:rsidRDefault="003D0226" w:rsidP="0003040E">
      <w:pPr>
        <w:pStyle w:val="Prrafodelista"/>
        <w:numPr>
          <w:ilvl w:val="0"/>
          <w:numId w:val="53"/>
        </w:numPr>
        <w:rPr>
          <w:rFonts w:cs="Arial"/>
          <w:szCs w:val="20"/>
        </w:rPr>
      </w:pPr>
      <w:r w:rsidRPr="00382A62">
        <w:rPr>
          <w:rFonts w:cs="Arial"/>
          <w:szCs w:val="20"/>
        </w:rPr>
        <w:t>Auditorías externas, aplicadas por entes reconocidos (INTECO, NSF), para verificación de cumplimiento de las</w:t>
      </w:r>
      <w:r w:rsidR="00563654" w:rsidRPr="00382A62">
        <w:rPr>
          <w:rFonts w:cs="Arial"/>
          <w:szCs w:val="20"/>
        </w:rPr>
        <w:t xml:space="preserve"> </w:t>
      </w:r>
      <w:r w:rsidRPr="00382A62">
        <w:rPr>
          <w:rFonts w:cs="Arial"/>
          <w:szCs w:val="20"/>
        </w:rPr>
        <w:t>normas implementadas por el Sistema de Gestión de Inocuidad Alimentaria.</w:t>
      </w:r>
    </w:p>
    <w:p w14:paraId="112AD168" w14:textId="4B45D073" w:rsidR="003D0226" w:rsidRPr="00382A62" w:rsidRDefault="003D0226" w:rsidP="0003040E">
      <w:pPr>
        <w:pStyle w:val="Prrafodelista"/>
        <w:numPr>
          <w:ilvl w:val="0"/>
          <w:numId w:val="53"/>
        </w:numPr>
        <w:rPr>
          <w:rFonts w:cs="Arial"/>
          <w:szCs w:val="20"/>
        </w:rPr>
      </w:pPr>
      <w:r w:rsidRPr="00382A62">
        <w:rPr>
          <w:rFonts w:cs="Arial"/>
          <w:szCs w:val="20"/>
        </w:rPr>
        <w:t>Trazabilidad de los lotes de producción,</w:t>
      </w:r>
      <w:r w:rsidR="005750AE" w:rsidRPr="00382A62">
        <w:rPr>
          <w:rFonts w:cs="Arial"/>
          <w:szCs w:val="20"/>
        </w:rPr>
        <w:t xml:space="preserve"> </w:t>
      </w:r>
      <w:r w:rsidRPr="00382A62">
        <w:rPr>
          <w:rFonts w:cs="Arial"/>
          <w:szCs w:val="20"/>
        </w:rPr>
        <w:t>análisis fisicoquímicos, microbiológicos y</w:t>
      </w:r>
      <w:r w:rsidR="005750AE" w:rsidRPr="00382A62">
        <w:rPr>
          <w:rFonts w:cs="Arial"/>
          <w:szCs w:val="20"/>
        </w:rPr>
        <w:t xml:space="preserve"> </w:t>
      </w:r>
      <w:r w:rsidRPr="00382A62">
        <w:rPr>
          <w:rFonts w:cs="Arial"/>
          <w:szCs w:val="20"/>
        </w:rPr>
        <w:t>sensoriales, de acuerdo con los sistemas de</w:t>
      </w:r>
      <w:r w:rsidR="005750AE" w:rsidRPr="00382A62">
        <w:rPr>
          <w:rFonts w:cs="Arial"/>
          <w:szCs w:val="20"/>
        </w:rPr>
        <w:t xml:space="preserve"> </w:t>
      </w:r>
      <w:r w:rsidRPr="00382A62">
        <w:rPr>
          <w:rFonts w:cs="Arial"/>
          <w:szCs w:val="20"/>
        </w:rPr>
        <w:t>gestión respectivos.</w:t>
      </w:r>
    </w:p>
    <w:p w14:paraId="2109D007" w14:textId="415C86E3" w:rsidR="005E0838" w:rsidRPr="00382A62" w:rsidRDefault="003D0226" w:rsidP="0003040E">
      <w:pPr>
        <w:pStyle w:val="Prrafodelista"/>
        <w:numPr>
          <w:ilvl w:val="0"/>
          <w:numId w:val="53"/>
        </w:numPr>
        <w:rPr>
          <w:rFonts w:cs="Arial"/>
          <w:szCs w:val="20"/>
        </w:rPr>
      </w:pPr>
      <w:r w:rsidRPr="00382A62">
        <w:rPr>
          <w:rFonts w:cs="Arial"/>
          <w:szCs w:val="20"/>
        </w:rPr>
        <w:t>En el caso de FIFCO Retail, la planta recibe</w:t>
      </w:r>
      <w:r w:rsidR="005750AE" w:rsidRPr="00382A62">
        <w:rPr>
          <w:rFonts w:cs="Arial"/>
          <w:szCs w:val="20"/>
        </w:rPr>
        <w:t xml:space="preserve"> </w:t>
      </w:r>
      <w:r w:rsidRPr="00382A62">
        <w:rPr>
          <w:rFonts w:cs="Arial"/>
          <w:szCs w:val="20"/>
        </w:rPr>
        <w:t>auditorías para los sistemas de gestión de</w:t>
      </w:r>
      <w:r w:rsidR="005750AE" w:rsidRPr="00382A62">
        <w:rPr>
          <w:rFonts w:cs="Arial"/>
          <w:szCs w:val="20"/>
        </w:rPr>
        <w:t xml:space="preserve"> </w:t>
      </w:r>
      <w:r w:rsidRPr="00382A62">
        <w:rPr>
          <w:rFonts w:cs="Arial"/>
          <w:szCs w:val="20"/>
        </w:rPr>
        <w:t>calidad e inocuidad con base en la norma</w:t>
      </w:r>
      <w:r w:rsidR="005750AE" w:rsidRPr="00382A62">
        <w:rPr>
          <w:rFonts w:cs="Arial"/>
          <w:szCs w:val="20"/>
        </w:rPr>
        <w:t>.</w:t>
      </w:r>
      <w:r w:rsidRPr="00382A62">
        <w:rPr>
          <w:rFonts w:cs="Arial"/>
          <w:szCs w:val="20"/>
        </w:rPr>
        <w:t>internacional BRC Global Standar.</w:t>
      </w:r>
    </w:p>
    <w:p w14:paraId="2182F014" w14:textId="358A6C81" w:rsidR="007C2D2B" w:rsidRPr="00382A62" w:rsidRDefault="007C2D2B" w:rsidP="007C2D2B">
      <w:pPr>
        <w:rPr>
          <w:rFonts w:eastAsia="Arial" w:cs="Arial"/>
          <w:bCs/>
          <w:szCs w:val="20"/>
        </w:rPr>
      </w:pPr>
      <w:r w:rsidRPr="00382A62">
        <w:rPr>
          <w:rFonts w:eastAsia="Arial" w:cs="Arial"/>
          <w:bCs/>
          <w:szCs w:val="20"/>
        </w:rPr>
        <w:t>El 100% de los productos producidos y comercializados durante el periodo 2023, brindan en sus etiquetas o cajas de empaque información correcta y accesible de acuerdo con la legislación y reglamentación vigente establecida por el Ministerio de Salud de Costa Rica, Ministerio de Economía, Industria y Comercio de Costa Rica, los Reglamentos Técnicos de Centroamérica, así como las normas aplicables en cada país de operación.</w:t>
      </w:r>
    </w:p>
    <w:p w14:paraId="515E61E9" w14:textId="3F0533FB" w:rsidR="007C2D2B" w:rsidRPr="00382A62" w:rsidRDefault="007605E6" w:rsidP="00756462">
      <w:pPr>
        <w:pStyle w:val="Prrafodelista"/>
        <w:numPr>
          <w:ilvl w:val="0"/>
          <w:numId w:val="55"/>
        </w:numPr>
        <w:rPr>
          <w:rFonts w:eastAsia="Arial" w:cs="Arial"/>
          <w:b/>
          <w:szCs w:val="20"/>
        </w:rPr>
      </w:pPr>
      <w:r w:rsidRPr="00382A62">
        <w:rPr>
          <w:rFonts w:eastAsia="Arial" w:cs="Arial"/>
          <w:b/>
          <w:szCs w:val="20"/>
        </w:rPr>
        <w:t>Seguridad y salud de los consumidores</w:t>
      </w:r>
      <w:r w:rsidR="005E0838" w:rsidRPr="00382A62">
        <w:rPr>
          <w:rFonts w:eastAsia="Arial" w:cs="Arial"/>
          <w:b/>
          <w:szCs w:val="20"/>
        </w:rPr>
        <w:t xml:space="preserve"> </w:t>
      </w:r>
    </w:p>
    <w:p w14:paraId="233257F7" w14:textId="737457EF" w:rsidR="007605E6" w:rsidRPr="00382A62" w:rsidRDefault="007605E6" w:rsidP="007605E6">
      <w:pPr>
        <w:rPr>
          <w:rFonts w:cs="Arial"/>
          <w:szCs w:val="20"/>
        </w:rPr>
      </w:pPr>
      <w:r w:rsidRPr="00382A62">
        <w:rPr>
          <w:rFonts w:eastAsia="Arial" w:cs="Arial"/>
          <w:szCs w:val="20"/>
        </w:rPr>
        <w:t>Se definieron los siguientes compromisos con la seguridad y salud de los consumidores:</w:t>
      </w:r>
    </w:p>
    <w:p w14:paraId="5D6564C9" w14:textId="00ABEAAD" w:rsidR="007605E6" w:rsidRPr="00382A62" w:rsidRDefault="00F92193" w:rsidP="00460BD5">
      <w:pPr>
        <w:pStyle w:val="Prrafodelista"/>
        <w:numPr>
          <w:ilvl w:val="0"/>
          <w:numId w:val="44"/>
        </w:numPr>
        <w:rPr>
          <w:rFonts w:eastAsia="Arial" w:cs="Arial"/>
          <w:szCs w:val="20"/>
        </w:rPr>
      </w:pPr>
      <w:r w:rsidRPr="00382A62">
        <w:rPr>
          <w:rFonts w:eastAsia="Arial" w:cs="Arial"/>
          <w:szCs w:val="20"/>
        </w:rPr>
        <w:t>Desarrollar iniciativas que fomenten el acceso a alimentos económicamente accesibles y saludables, promoviendo bienestar en las comunidades.</w:t>
      </w:r>
    </w:p>
    <w:p w14:paraId="15D86CDB" w14:textId="77777777" w:rsidR="007605E6" w:rsidRPr="00382A62" w:rsidRDefault="007605E6" w:rsidP="00147CF2">
      <w:pPr>
        <w:pStyle w:val="Prrafodelista"/>
        <w:numPr>
          <w:ilvl w:val="0"/>
          <w:numId w:val="44"/>
        </w:numPr>
        <w:rPr>
          <w:rFonts w:eastAsia="Arial" w:cs="Arial"/>
          <w:szCs w:val="20"/>
        </w:rPr>
      </w:pPr>
      <w:r w:rsidRPr="00382A62">
        <w:rPr>
          <w:rFonts w:eastAsia="Arial" w:cs="Arial"/>
          <w:szCs w:val="20"/>
        </w:rPr>
        <w:t>Desarrollo de productos con bajos contenidos de sodio, grasas trans, saturadas y azúcar adicionada.</w:t>
      </w:r>
    </w:p>
    <w:p w14:paraId="2AD4CE60" w14:textId="77777777" w:rsidR="007605E6" w:rsidRPr="00382A62" w:rsidRDefault="007605E6" w:rsidP="00147CF2">
      <w:pPr>
        <w:pStyle w:val="Prrafodelista"/>
        <w:numPr>
          <w:ilvl w:val="0"/>
          <w:numId w:val="44"/>
        </w:numPr>
        <w:rPr>
          <w:rFonts w:eastAsia="Arial" w:cs="Arial"/>
          <w:szCs w:val="20"/>
        </w:rPr>
      </w:pPr>
      <w:r w:rsidRPr="00382A62">
        <w:rPr>
          <w:rFonts w:eastAsia="Arial" w:cs="Arial"/>
          <w:szCs w:val="20"/>
        </w:rPr>
        <w:t xml:space="preserve">Desarrollo de productos que contienen fibra, vitaminas, minerales y otros aditivos alimenticios funcionales. </w:t>
      </w:r>
    </w:p>
    <w:p w14:paraId="40FDF0EC" w14:textId="77777777" w:rsidR="007605E6" w:rsidRPr="00382A62" w:rsidRDefault="007605E6" w:rsidP="00147CF2">
      <w:pPr>
        <w:pStyle w:val="Prrafodelista"/>
        <w:numPr>
          <w:ilvl w:val="0"/>
          <w:numId w:val="44"/>
        </w:numPr>
        <w:rPr>
          <w:rFonts w:cs="Arial"/>
          <w:szCs w:val="20"/>
        </w:rPr>
      </w:pPr>
      <w:r w:rsidRPr="00382A62">
        <w:rPr>
          <w:rFonts w:eastAsia="Arial" w:cs="Arial"/>
          <w:szCs w:val="20"/>
        </w:rPr>
        <w:lastRenderedPageBreak/>
        <w:t xml:space="preserve">Aumentar la cantidad de productos del portafolio que contemplen un menor impacto social y ambiental. </w:t>
      </w:r>
    </w:p>
    <w:p w14:paraId="6910627A" w14:textId="63FBEB7E" w:rsidR="007605E6" w:rsidRPr="00382A62" w:rsidRDefault="00EE7742" w:rsidP="00EE7742">
      <w:pPr>
        <w:rPr>
          <w:rFonts w:cs="Arial"/>
          <w:szCs w:val="20"/>
        </w:rPr>
      </w:pPr>
      <w:r w:rsidRPr="00382A62">
        <w:rPr>
          <w:rFonts w:eastAsia="Arial" w:cs="Arial"/>
          <w:szCs w:val="20"/>
        </w:rPr>
        <w:t>En el año 2023 todas las plantas de manufactura continuaron trabajando en proteger la salud y seguridad de los consumidores, colaboradores y clientes, garantizando la calidad de los productos y enfocados siempre en la mejora continua</w:t>
      </w:r>
      <w:r w:rsidR="007605E6" w:rsidRPr="00382A62">
        <w:rPr>
          <w:rFonts w:eastAsia="Arial" w:cs="Arial"/>
          <w:szCs w:val="20"/>
        </w:rPr>
        <w:t xml:space="preserve">. </w:t>
      </w:r>
    </w:p>
    <w:p w14:paraId="349ECCDF" w14:textId="5D4A96B5" w:rsidR="007605E6" w:rsidRPr="00382A62" w:rsidRDefault="009F141F" w:rsidP="009F141F">
      <w:pPr>
        <w:rPr>
          <w:rFonts w:cs="Arial"/>
          <w:szCs w:val="20"/>
        </w:rPr>
      </w:pPr>
      <w:r w:rsidRPr="00382A62">
        <w:rPr>
          <w:rFonts w:eastAsia="Arial" w:cs="Arial"/>
          <w:szCs w:val="20"/>
        </w:rPr>
        <w:t>Las plantas de producción de Refrescos y de Cerveza, a nivel de inocuidad aprobaron satisfactoriamente las auditorías de seguimiento para la certificación bajo el esquema FSSC 22000, y la auditoría de AIB International, y en el área de calidad se aprobó la auditoría QAS de Pepsico. La planta de producción de Cerveza renovó su certificación bajo los estándares de LSS de Heineken.</w:t>
      </w:r>
    </w:p>
    <w:p w14:paraId="4B2645BA" w14:textId="245EA0C6" w:rsidR="007605E6" w:rsidRPr="00382A62" w:rsidRDefault="002E7BB1" w:rsidP="002E7BB1">
      <w:pPr>
        <w:rPr>
          <w:rFonts w:eastAsia="Arial" w:cs="Arial"/>
          <w:szCs w:val="20"/>
        </w:rPr>
      </w:pPr>
      <w:r w:rsidRPr="00382A62">
        <w:rPr>
          <w:rFonts w:eastAsia="Arial" w:cs="Arial"/>
          <w:szCs w:val="20"/>
        </w:rPr>
        <w:t>La planta de manufactura Retail mantiene la certificación de calidad e inocuidad bajo la norma mundial de inocuidad alimentaria BRC Global Standar, marca global líder bajo un esquema de protección al consumidor, y que evalúa la calidad e inocuidad del sistema de producción completo. Esta certificación reúne y sintetiza todos los estándares de manera más minuciosa en temas de calidad e inocuidad.</w:t>
      </w:r>
    </w:p>
    <w:p w14:paraId="527B8C3A" w14:textId="2AC5DC14" w:rsidR="00756462" w:rsidRPr="00382A62" w:rsidRDefault="00756462" w:rsidP="00756462">
      <w:pPr>
        <w:pStyle w:val="Prrafodelista"/>
        <w:numPr>
          <w:ilvl w:val="0"/>
          <w:numId w:val="55"/>
        </w:numPr>
        <w:rPr>
          <w:rFonts w:eastAsia="Arial" w:cs="Arial"/>
          <w:b/>
          <w:szCs w:val="20"/>
        </w:rPr>
      </w:pPr>
      <w:r w:rsidRPr="00382A62">
        <w:rPr>
          <w:rFonts w:eastAsia="Arial" w:cs="Arial"/>
          <w:b/>
          <w:szCs w:val="20"/>
        </w:rPr>
        <w:t>Centro de Experiencia al Cliente</w:t>
      </w:r>
    </w:p>
    <w:p w14:paraId="2B5C0675" w14:textId="0C1B1C62" w:rsidR="007605E6" w:rsidRPr="00382A62" w:rsidRDefault="000E0521" w:rsidP="000E0521">
      <w:pPr>
        <w:rPr>
          <w:rFonts w:eastAsia="Arial" w:cs="Arial"/>
          <w:szCs w:val="20"/>
        </w:rPr>
      </w:pPr>
      <w:r w:rsidRPr="00382A62">
        <w:rPr>
          <w:rFonts w:cs="Arial"/>
          <w:szCs w:val="20"/>
        </w:rPr>
        <w:t>En el Departamento de Soporte al Cliente (CX) se atienden consultas, requerimientos, reclamaciones y quejas de los consumidores finales y clientes.</w:t>
      </w:r>
    </w:p>
    <w:p w14:paraId="0DDA7E2B" w14:textId="5697090F" w:rsidR="00B367D5" w:rsidRDefault="00B367D5" w:rsidP="00B367D5">
      <w:pPr>
        <w:rPr>
          <w:rFonts w:cs="Arial"/>
          <w:szCs w:val="20"/>
        </w:rPr>
      </w:pPr>
      <w:r w:rsidRPr="00382A62">
        <w:rPr>
          <w:rFonts w:cs="Arial"/>
          <w:szCs w:val="20"/>
        </w:rPr>
        <w:t xml:space="preserve">Durante el periodo del reporte al igual que en años anteriores, no se registran reclamaciones fundamentadas sobre la violación de la privacidad y la fuga de datos de los </w:t>
      </w:r>
      <w:r w:rsidR="004A55EC" w:rsidRPr="00382A62">
        <w:rPr>
          <w:rFonts w:cs="Arial"/>
          <w:szCs w:val="20"/>
        </w:rPr>
        <w:t>clientes.</w:t>
      </w:r>
    </w:p>
    <w:p w14:paraId="67725E94" w14:textId="77777777" w:rsidR="00540498" w:rsidRDefault="00540498" w:rsidP="007605E6">
      <w:pPr>
        <w:pStyle w:val="Descripcin"/>
        <w:rPr>
          <w:rFonts w:cs="Arial"/>
          <w:szCs w:val="20"/>
        </w:rPr>
      </w:pPr>
    </w:p>
    <w:p w14:paraId="6C951AB1" w14:textId="2E6B5A42" w:rsidR="007605E6" w:rsidRPr="00382A62" w:rsidRDefault="007605E6" w:rsidP="007605E6">
      <w:pPr>
        <w:pStyle w:val="Descripcin"/>
        <w:rPr>
          <w:rFonts w:cs="Arial"/>
          <w:szCs w:val="20"/>
        </w:rPr>
      </w:pPr>
      <w:bookmarkStart w:id="189" w:name="_Toc169624740"/>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915ACD" w:rsidRPr="00382A62">
        <w:rPr>
          <w:rFonts w:cs="Arial"/>
          <w:szCs w:val="20"/>
        </w:rPr>
        <w:t>44</w:t>
      </w:r>
      <w:r w:rsidRPr="00382A62">
        <w:rPr>
          <w:rFonts w:cs="Arial"/>
          <w:szCs w:val="20"/>
        </w:rPr>
        <w:fldChar w:fldCharType="end"/>
      </w:r>
      <w:r w:rsidRPr="00382A62">
        <w:rPr>
          <w:rFonts w:cs="Arial"/>
          <w:szCs w:val="20"/>
        </w:rPr>
        <w:t xml:space="preserve"> – </w:t>
      </w:r>
      <w:r w:rsidR="00557872" w:rsidRPr="00382A62">
        <w:rPr>
          <w:rFonts w:cs="Arial"/>
          <w:szCs w:val="20"/>
        </w:rPr>
        <w:t>Número de reclamaciones por impactos económicos, sociales y ambientales</w:t>
      </w:r>
      <w:bookmarkEnd w:id="189"/>
    </w:p>
    <w:tbl>
      <w:tblPr>
        <w:tblStyle w:val="Tablaconcuadrculaclara"/>
        <w:tblW w:w="6280" w:type="dxa"/>
        <w:jc w:val="center"/>
        <w:tblLook w:val="04A0" w:firstRow="1" w:lastRow="0" w:firstColumn="1" w:lastColumn="0" w:noHBand="0" w:noVBand="1"/>
      </w:tblPr>
      <w:tblGrid>
        <w:gridCol w:w="2680"/>
        <w:gridCol w:w="1200"/>
        <w:gridCol w:w="1200"/>
        <w:gridCol w:w="1200"/>
      </w:tblGrid>
      <w:tr w:rsidR="001D39EF" w:rsidRPr="005E0688" w14:paraId="0108BA0D" w14:textId="77777777" w:rsidTr="002D739C">
        <w:trPr>
          <w:trHeight w:val="300"/>
          <w:jc w:val="center"/>
        </w:trPr>
        <w:tc>
          <w:tcPr>
            <w:tcW w:w="2680" w:type="dxa"/>
            <w:shd w:val="pct5" w:color="auto" w:fill="auto"/>
            <w:hideMark/>
          </w:tcPr>
          <w:p w14:paraId="74E679F6" w14:textId="77777777" w:rsidR="005E0688" w:rsidRPr="005E0688" w:rsidRDefault="005E0688" w:rsidP="005E0688">
            <w:pPr>
              <w:spacing w:line="240" w:lineRule="auto"/>
              <w:jc w:val="left"/>
              <w:rPr>
                <w:rFonts w:eastAsia="Times New Roman" w:cs="Arial"/>
                <w:b/>
                <w:bCs/>
                <w:color w:val="000000"/>
                <w:szCs w:val="20"/>
                <w:lang w:val="es-419" w:eastAsia="es-419"/>
              </w:rPr>
            </w:pPr>
            <w:r w:rsidRPr="005E0688">
              <w:rPr>
                <w:rFonts w:eastAsia="Times New Roman" w:cs="Arial"/>
                <w:b/>
                <w:bCs/>
                <w:color w:val="000000"/>
                <w:szCs w:val="20"/>
                <w:lang w:eastAsia="es-419"/>
              </w:rPr>
              <w:t>Tipo de queja</w:t>
            </w:r>
          </w:p>
        </w:tc>
        <w:tc>
          <w:tcPr>
            <w:tcW w:w="1200" w:type="dxa"/>
            <w:shd w:val="pct5" w:color="auto" w:fill="auto"/>
            <w:hideMark/>
          </w:tcPr>
          <w:p w14:paraId="48E1D56B" w14:textId="77777777" w:rsidR="005E0688" w:rsidRPr="005E0688" w:rsidRDefault="005E0688" w:rsidP="005E0688">
            <w:pPr>
              <w:spacing w:line="240" w:lineRule="auto"/>
              <w:jc w:val="center"/>
              <w:rPr>
                <w:rFonts w:eastAsia="Times New Roman" w:cs="Arial"/>
                <w:b/>
                <w:bCs/>
                <w:color w:val="000000"/>
                <w:szCs w:val="20"/>
                <w:lang w:val="es-419" w:eastAsia="es-419"/>
              </w:rPr>
            </w:pPr>
            <w:r w:rsidRPr="005E0688">
              <w:rPr>
                <w:rFonts w:eastAsia="Times New Roman" w:cs="Arial"/>
                <w:b/>
                <w:bCs/>
                <w:color w:val="000000"/>
                <w:szCs w:val="20"/>
                <w:lang w:eastAsia="es-419"/>
              </w:rPr>
              <w:t>2021</w:t>
            </w:r>
          </w:p>
        </w:tc>
        <w:tc>
          <w:tcPr>
            <w:tcW w:w="1200" w:type="dxa"/>
            <w:shd w:val="pct5" w:color="auto" w:fill="auto"/>
            <w:hideMark/>
          </w:tcPr>
          <w:p w14:paraId="1AC537E0" w14:textId="77777777" w:rsidR="005E0688" w:rsidRPr="005E0688" w:rsidRDefault="005E0688" w:rsidP="005E0688">
            <w:pPr>
              <w:spacing w:line="240" w:lineRule="auto"/>
              <w:jc w:val="center"/>
              <w:rPr>
                <w:rFonts w:eastAsia="Times New Roman" w:cs="Arial"/>
                <w:b/>
                <w:bCs/>
                <w:color w:val="000000"/>
                <w:szCs w:val="20"/>
                <w:lang w:val="es-419" w:eastAsia="es-419"/>
              </w:rPr>
            </w:pPr>
            <w:r w:rsidRPr="005E0688">
              <w:rPr>
                <w:rFonts w:eastAsia="Times New Roman" w:cs="Arial"/>
                <w:b/>
                <w:bCs/>
                <w:color w:val="000000"/>
                <w:szCs w:val="20"/>
                <w:lang w:eastAsia="es-419"/>
              </w:rPr>
              <w:t>2022</w:t>
            </w:r>
          </w:p>
        </w:tc>
        <w:tc>
          <w:tcPr>
            <w:tcW w:w="1200" w:type="dxa"/>
            <w:shd w:val="pct5" w:color="auto" w:fill="auto"/>
            <w:noWrap/>
            <w:hideMark/>
          </w:tcPr>
          <w:p w14:paraId="1AFD433A" w14:textId="77777777" w:rsidR="005E0688" w:rsidRPr="005E0688" w:rsidRDefault="005E0688" w:rsidP="005E0688">
            <w:pPr>
              <w:spacing w:line="240" w:lineRule="auto"/>
              <w:jc w:val="center"/>
              <w:rPr>
                <w:rFonts w:eastAsia="Times New Roman" w:cs="Arial"/>
                <w:b/>
                <w:bCs/>
                <w:color w:val="000000"/>
                <w:szCs w:val="20"/>
                <w:lang w:val="es-419" w:eastAsia="es-419"/>
              </w:rPr>
            </w:pPr>
            <w:r w:rsidRPr="005E0688">
              <w:rPr>
                <w:rFonts w:eastAsia="Times New Roman" w:cs="Arial"/>
                <w:b/>
                <w:bCs/>
                <w:color w:val="000000"/>
                <w:szCs w:val="20"/>
                <w:lang w:eastAsia="es-419"/>
              </w:rPr>
              <w:t>2023</w:t>
            </w:r>
          </w:p>
        </w:tc>
      </w:tr>
      <w:tr w:rsidR="007B7169" w:rsidRPr="005E0688" w14:paraId="016C74C3" w14:textId="77777777" w:rsidTr="001D39EF">
        <w:trPr>
          <w:trHeight w:val="300"/>
          <w:jc w:val="center"/>
        </w:trPr>
        <w:tc>
          <w:tcPr>
            <w:tcW w:w="2680" w:type="dxa"/>
            <w:hideMark/>
          </w:tcPr>
          <w:p w14:paraId="46D63E1E" w14:textId="401E5FAE" w:rsidR="007B7169" w:rsidRPr="007B7169" w:rsidRDefault="007B7169" w:rsidP="007B7169">
            <w:pPr>
              <w:spacing w:line="240" w:lineRule="auto"/>
              <w:jc w:val="left"/>
              <w:rPr>
                <w:rFonts w:eastAsia="Times New Roman" w:cs="Arial"/>
                <w:b/>
                <w:bCs/>
                <w:color w:val="000000"/>
                <w:szCs w:val="20"/>
                <w:lang w:val="es-419" w:eastAsia="es-419"/>
              </w:rPr>
            </w:pPr>
            <w:r w:rsidRPr="007B7169">
              <w:rPr>
                <w:b/>
                <w:bCs/>
              </w:rPr>
              <w:t>Productos (consumidores)</w:t>
            </w:r>
          </w:p>
        </w:tc>
        <w:tc>
          <w:tcPr>
            <w:tcW w:w="1200" w:type="dxa"/>
            <w:hideMark/>
          </w:tcPr>
          <w:p w14:paraId="2419E3FC" w14:textId="63C9DAFD" w:rsidR="007B7169" w:rsidRPr="005E0688" w:rsidRDefault="007B7169" w:rsidP="007B7169">
            <w:pPr>
              <w:spacing w:line="240" w:lineRule="auto"/>
              <w:jc w:val="right"/>
              <w:rPr>
                <w:rFonts w:eastAsia="Times New Roman" w:cs="Arial"/>
                <w:color w:val="000000"/>
                <w:szCs w:val="20"/>
                <w:lang w:val="es-419" w:eastAsia="es-419"/>
              </w:rPr>
            </w:pPr>
            <w:r w:rsidRPr="00FA76FF">
              <w:t>724</w:t>
            </w:r>
          </w:p>
        </w:tc>
        <w:tc>
          <w:tcPr>
            <w:tcW w:w="1200" w:type="dxa"/>
            <w:hideMark/>
          </w:tcPr>
          <w:p w14:paraId="104C0CBF" w14:textId="0DA99984" w:rsidR="007B7169" w:rsidRPr="005E0688" w:rsidRDefault="007B7169" w:rsidP="007B7169">
            <w:pPr>
              <w:spacing w:line="240" w:lineRule="auto"/>
              <w:jc w:val="right"/>
              <w:rPr>
                <w:rFonts w:eastAsia="Times New Roman" w:cs="Arial"/>
                <w:color w:val="000000"/>
                <w:szCs w:val="20"/>
                <w:lang w:val="es-419" w:eastAsia="es-419"/>
              </w:rPr>
            </w:pPr>
            <w:r w:rsidRPr="00FA76FF">
              <w:t>732</w:t>
            </w:r>
          </w:p>
        </w:tc>
        <w:tc>
          <w:tcPr>
            <w:tcW w:w="1200" w:type="dxa"/>
            <w:noWrap/>
            <w:hideMark/>
          </w:tcPr>
          <w:p w14:paraId="5091B8D4" w14:textId="6118E8CF" w:rsidR="007B7169" w:rsidRPr="005E0688" w:rsidRDefault="007B7169" w:rsidP="007B7169">
            <w:pPr>
              <w:spacing w:line="240" w:lineRule="auto"/>
              <w:jc w:val="right"/>
              <w:rPr>
                <w:rFonts w:eastAsia="Times New Roman" w:cs="Arial"/>
                <w:color w:val="000000"/>
                <w:szCs w:val="20"/>
                <w:lang w:val="es-419" w:eastAsia="es-419"/>
              </w:rPr>
            </w:pPr>
            <w:r w:rsidRPr="00FA76FF">
              <w:t>817</w:t>
            </w:r>
          </w:p>
        </w:tc>
      </w:tr>
      <w:tr w:rsidR="007B7169" w:rsidRPr="005E0688" w14:paraId="36D1A997" w14:textId="77777777" w:rsidTr="001D39EF">
        <w:trPr>
          <w:trHeight w:val="300"/>
          <w:jc w:val="center"/>
        </w:trPr>
        <w:tc>
          <w:tcPr>
            <w:tcW w:w="2680" w:type="dxa"/>
            <w:hideMark/>
          </w:tcPr>
          <w:p w14:paraId="38C804DA" w14:textId="38EAEE65" w:rsidR="007B7169" w:rsidRPr="007B7169" w:rsidRDefault="007B7169" w:rsidP="007B7169">
            <w:pPr>
              <w:spacing w:line="240" w:lineRule="auto"/>
              <w:jc w:val="left"/>
              <w:rPr>
                <w:rFonts w:eastAsia="Times New Roman" w:cs="Arial"/>
                <w:b/>
                <w:bCs/>
                <w:color w:val="000000"/>
                <w:szCs w:val="20"/>
                <w:lang w:val="es-419" w:eastAsia="es-419"/>
              </w:rPr>
            </w:pPr>
            <w:r w:rsidRPr="007B7169">
              <w:rPr>
                <w:b/>
                <w:bCs/>
              </w:rPr>
              <w:t>Productos (clientes)</w:t>
            </w:r>
          </w:p>
        </w:tc>
        <w:tc>
          <w:tcPr>
            <w:tcW w:w="1200" w:type="dxa"/>
            <w:hideMark/>
          </w:tcPr>
          <w:p w14:paraId="6C6EF8E2" w14:textId="4F0706C7" w:rsidR="007B7169" w:rsidRPr="005E0688" w:rsidRDefault="007B7169" w:rsidP="007B7169">
            <w:pPr>
              <w:spacing w:line="240" w:lineRule="auto"/>
              <w:jc w:val="right"/>
              <w:rPr>
                <w:rFonts w:eastAsia="Times New Roman" w:cs="Arial"/>
                <w:color w:val="000000"/>
                <w:szCs w:val="20"/>
                <w:lang w:val="es-419" w:eastAsia="es-419"/>
              </w:rPr>
            </w:pPr>
            <w:r w:rsidRPr="00FA76FF">
              <w:t>194</w:t>
            </w:r>
          </w:p>
        </w:tc>
        <w:tc>
          <w:tcPr>
            <w:tcW w:w="1200" w:type="dxa"/>
            <w:hideMark/>
          </w:tcPr>
          <w:p w14:paraId="784EEBA9" w14:textId="054E390E" w:rsidR="007B7169" w:rsidRPr="005E0688" w:rsidRDefault="007B7169" w:rsidP="007B7169">
            <w:pPr>
              <w:spacing w:line="240" w:lineRule="auto"/>
              <w:jc w:val="right"/>
              <w:rPr>
                <w:rFonts w:eastAsia="Times New Roman" w:cs="Arial"/>
                <w:color w:val="000000"/>
                <w:szCs w:val="20"/>
                <w:lang w:val="es-419" w:eastAsia="es-419"/>
              </w:rPr>
            </w:pPr>
            <w:r w:rsidRPr="00FA76FF">
              <w:t>140</w:t>
            </w:r>
          </w:p>
        </w:tc>
        <w:tc>
          <w:tcPr>
            <w:tcW w:w="1200" w:type="dxa"/>
            <w:noWrap/>
            <w:hideMark/>
          </w:tcPr>
          <w:p w14:paraId="06B3B273" w14:textId="108442EE" w:rsidR="007B7169" w:rsidRPr="005E0688" w:rsidRDefault="007B7169" w:rsidP="007B7169">
            <w:pPr>
              <w:spacing w:line="240" w:lineRule="auto"/>
              <w:jc w:val="right"/>
              <w:rPr>
                <w:rFonts w:eastAsia="Times New Roman" w:cs="Arial"/>
                <w:color w:val="000000"/>
                <w:szCs w:val="20"/>
                <w:lang w:val="es-419" w:eastAsia="es-419"/>
              </w:rPr>
            </w:pPr>
            <w:r w:rsidRPr="00FA76FF">
              <w:t>121</w:t>
            </w:r>
          </w:p>
        </w:tc>
      </w:tr>
      <w:tr w:rsidR="007B7169" w:rsidRPr="005E0688" w14:paraId="5C358BC8" w14:textId="77777777" w:rsidTr="001D39EF">
        <w:trPr>
          <w:trHeight w:val="300"/>
          <w:jc w:val="center"/>
        </w:trPr>
        <w:tc>
          <w:tcPr>
            <w:tcW w:w="2680" w:type="dxa"/>
            <w:hideMark/>
          </w:tcPr>
          <w:p w14:paraId="2463C818" w14:textId="0721E155" w:rsidR="007B7169" w:rsidRPr="007B7169" w:rsidRDefault="007B7169" w:rsidP="007B7169">
            <w:pPr>
              <w:spacing w:line="240" w:lineRule="auto"/>
              <w:jc w:val="left"/>
              <w:rPr>
                <w:rFonts w:eastAsia="Times New Roman" w:cs="Arial"/>
                <w:b/>
                <w:bCs/>
                <w:color w:val="000000"/>
                <w:szCs w:val="20"/>
                <w:lang w:val="es-419" w:eastAsia="es-419"/>
              </w:rPr>
            </w:pPr>
            <w:r w:rsidRPr="007B7169">
              <w:rPr>
                <w:b/>
                <w:bCs/>
              </w:rPr>
              <w:t>Mal manejo choferes</w:t>
            </w:r>
          </w:p>
        </w:tc>
        <w:tc>
          <w:tcPr>
            <w:tcW w:w="1200" w:type="dxa"/>
            <w:hideMark/>
          </w:tcPr>
          <w:p w14:paraId="23000A13" w14:textId="3772196D" w:rsidR="007B7169" w:rsidRPr="005E0688" w:rsidRDefault="007B7169" w:rsidP="007B7169">
            <w:pPr>
              <w:spacing w:line="240" w:lineRule="auto"/>
              <w:jc w:val="right"/>
              <w:rPr>
                <w:rFonts w:eastAsia="Times New Roman" w:cs="Arial"/>
                <w:color w:val="000000"/>
                <w:szCs w:val="20"/>
                <w:lang w:val="es-419" w:eastAsia="es-419"/>
              </w:rPr>
            </w:pPr>
            <w:r w:rsidRPr="00FA76FF">
              <w:t>106</w:t>
            </w:r>
          </w:p>
        </w:tc>
        <w:tc>
          <w:tcPr>
            <w:tcW w:w="1200" w:type="dxa"/>
            <w:hideMark/>
          </w:tcPr>
          <w:p w14:paraId="538F4E12" w14:textId="36716636" w:rsidR="007B7169" w:rsidRPr="005E0688" w:rsidRDefault="007B7169" w:rsidP="007B7169">
            <w:pPr>
              <w:spacing w:line="240" w:lineRule="auto"/>
              <w:jc w:val="right"/>
              <w:rPr>
                <w:rFonts w:eastAsia="Times New Roman" w:cs="Arial"/>
                <w:color w:val="000000"/>
                <w:szCs w:val="20"/>
                <w:lang w:val="es-419" w:eastAsia="es-419"/>
              </w:rPr>
            </w:pPr>
            <w:r w:rsidRPr="00FA76FF">
              <w:t>98</w:t>
            </w:r>
          </w:p>
        </w:tc>
        <w:tc>
          <w:tcPr>
            <w:tcW w:w="1200" w:type="dxa"/>
            <w:noWrap/>
            <w:hideMark/>
          </w:tcPr>
          <w:p w14:paraId="3BB2FA35" w14:textId="201BCE90" w:rsidR="007B7169" w:rsidRPr="005E0688" w:rsidRDefault="007B7169" w:rsidP="007B7169">
            <w:pPr>
              <w:spacing w:line="240" w:lineRule="auto"/>
              <w:jc w:val="right"/>
              <w:rPr>
                <w:rFonts w:eastAsia="Times New Roman" w:cs="Arial"/>
                <w:color w:val="000000"/>
                <w:szCs w:val="20"/>
                <w:lang w:val="es-419" w:eastAsia="es-419"/>
              </w:rPr>
            </w:pPr>
            <w:r w:rsidRPr="00FA76FF">
              <w:t>82</w:t>
            </w:r>
          </w:p>
        </w:tc>
      </w:tr>
      <w:tr w:rsidR="007B7169" w:rsidRPr="005E0688" w14:paraId="246884B5" w14:textId="77777777" w:rsidTr="001D39EF">
        <w:trPr>
          <w:trHeight w:val="300"/>
          <w:jc w:val="center"/>
        </w:trPr>
        <w:tc>
          <w:tcPr>
            <w:tcW w:w="2680" w:type="dxa"/>
            <w:hideMark/>
          </w:tcPr>
          <w:p w14:paraId="0D407145" w14:textId="00F607CD" w:rsidR="007B7169" w:rsidRPr="007B7169" w:rsidRDefault="007B7169" w:rsidP="007B7169">
            <w:pPr>
              <w:spacing w:line="240" w:lineRule="auto"/>
              <w:jc w:val="left"/>
              <w:rPr>
                <w:rFonts w:eastAsia="Times New Roman" w:cs="Arial"/>
                <w:b/>
                <w:bCs/>
                <w:color w:val="000000"/>
                <w:szCs w:val="20"/>
                <w:lang w:val="es-419" w:eastAsia="es-419"/>
              </w:rPr>
            </w:pPr>
            <w:r w:rsidRPr="007B7169">
              <w:rPr>
                <w:b/>
                <w:bCs/>
              </w:rPr>
              <w:t>Logística (clientes)</w:t>
            </w:r>
          </w:p>
        </w:tc>
        <w:tc>
          <w:tcPr>
            <w:tcW w:w="1200" w:type="dxa"/>
            <w:hideMark/>
          </w:tcPr>
          <w:p w14:paraId="7C460FF9" w14:textId="0AADE8C1" w:rsidR="007B7169" w:rsidRPr="005E0688" w:rsidRDefault="007B7169" w:rsidP="007B7169">
            <w:pPr>
              <w:spacing w:line="240" w:lineRule="auto"/>
              <w:jc w:val="right"/>
              <w:rPr>
                <w:rFonts w:eastAsia="Times New Roman" w:cs="Arial"/>
                <w:color w:val="000000"/>
                <w:szCs w:val="20"/>
                <w:lang w:val="es-419" w:eastAsia="es-419"/>
              </w:rPr>
            </w:pPr>
            <w:r w:rsidRPr="00FA76FF">
              <w:t>165</w:t>
            </w:r>
          </w:p>
        </w:tc>
        <w:tc>
          <w:tcPr>
            <w:tcW w:w="1200" w:type="dxa"/>
            <w:hideMark/>
          </w:tcPr>
          <w:p w14:paraId="26DFAE3B" w14:textId="05B51D46" w:rsidR="007B7169" w:rsidRPr="005E0688" w:rsidRDefault="007B7169" w:rsidP="007B7169">
            <w:pPr>
              <w:spacing w:line="240" w:lineRule="auto"/>
              <w:jc w:val="right"/>
              <w:rPr>
                <w:rFonts w:eastAsia="Times New Roman" w:cs="Arial"/>
                <w:color w:val="000000"/>
                <w:szCs w:val="20"/>
                <w:lang w:val="es-419" w:eastAsia="es-419"/>
              </w:rPr>
            </w:pPr>
            <w:r w:rsidRPr="00FA76FF">
              <w:t>211</w:t>
            </w:r>
          </w:p>
        </w:tc>
        <w:tc>
          <w:tcPr>
            <w:tcW w:w="1200" w:type="dxa"/>
            <w:noWrap/>
            <w:hideMark/>
          </w:tcPr>
          <w:p w14:paraId="6E2BE120" w14:textId="370B59F5" w:rsidR="007B7169" w:rsidRPr="005E0688" w:rsidRDefault="007B7169" w:rsidP="007B7169">
            <w:pPr>
              <w:spacing w:line="240" w:lineRule="auto"/>
              <w:jc w:val="right"/>
              <w:rPr>
                <w:rFonts w:eastAsia="Times New Roman" w:cs="Arial"/>
                <w:color w:val="000000"/>
                <w:szCs w:val="20"/>
                <w:lang w:val="es-419" w:eastAsia="es-419"/>
              </w:rPr>
            </w:pPr>
            <w:r w:rsidRPr="00FA76FF">
              <w:t>78</w:t>
            </w:r>
          </w:p>
        </w:tc>
      </w:tr>
      <w:tr w:rsidR="007B7169" w:rsidRPr="005E0688" w14:paraId="1CBDF16B" w14:textId="77777777" w:rsidTr="001D39EF">
        <w:trPr>
          <w:trHeight w:val="300"/>
          <w:jc w:val="center"/>
        </w:trPr>
        <w:tc>
          <w:tcPr>
            <w:tcW w:w="2680" w:type="dxa"/>
            <w:hideMark/>
          </w:tcPr>
          <w:p w14:paraId="58B7E5CD" w14:textId="5401C59C" w:rsidR="007B7169" w:rsidRPr="007B7169" w:rsidRDefault="007B7169" w:rsidP="007B7169">
            <w:pPr>
              <w:spacing w:line="240" w:lineRule="auto"/>
              <w:jc w:val="left"/>
              <w:rPr>
                <w:rFonts w:eastAsia="Times New Roman" w:cs="Arial"/>
                <w:b/>
                <w:bCs/>
                <w:color w:val="000000"/>
                <w:szCs w:val="20"/>
                <w:lang w:val="es-419" w:eastAsia="es-419"/>
              </w:rPr>
            </w:pPr>
            <w:r w:rsidRPr="007B7169">
              <w:rPr>
                <w:b/>
                <w:bCs/>
              </w:rPr>
              <w:t>Daños a la propiedad</w:t>
            </w:r>
          </w:p>
        </w:tc>
        <w:tc>
          <w:tcPr>
            <w:tcW w:w="1200" w:type="dxa"/>
            <w:hideMark/>
          </w:tcPr>
          <w:p w14:paraId="21F7BF58" w14:textId="18581FA4" w:rsidR="007B7169" w:rsidRPr="005E0688" w:rsidRDefault="007B7169" w:rsidP="007B7169">
            <w:pPr>
              <w:spacing w:line="240" w:lineRule="auto"/>
              <w:jc w:val="right"/>
              <w:rPr>
                <w:rFonts w:eastAsia="Times New Roman" w:cs="Arial"/>
                <w:color w:val="000000"/>
                <w:szCs w:val="20"/>
                <w:lang w:val="es-419" w:eastAsia="es-419"/>
              </w:rPr>
            </w:pPr>
            <w:r w:rsidRPr="00FA76FF">
              <w:t>53</w:t>
            </w:r>
          </w:p>
        </w:tc>
        <w:tc>
          <w:tcPr>
            <w:tcW w:w="1200" w:type="dxa"/>
            <w:hideMark/>
          </w:tcPr>
          <w:p w14:paraId="38744C97" w14:textId="5033AA5B" w:rsidR="007B7169" w:rsidRPr="005E0688" w:rsidRDefault="007B7169" w:rsidP="007B7169">
            <w:pPr>
              <w:spacing w:line="240" w:lineRule="auto"/>
              <w:jc w:val="right"/>
              <w:rPr>
                <w:rFonts w:eastAsia="Times New Roman" w:cs="Arial"/>
                <w:color w:val="000000"/>
                <w:szCs w:val="20"/>
                <w:lang w:val="es-419" w:eastAsia="es-419"/>
              </w:rPr>
            </w:pPr>
            <w:r w:rsidRPr="00FA76FF">
              <w:t>51</w:t>
            </w:r>
          </w:p>
        </w:tc>
        <w:tc>
          <w:tcPr>
            <w:tcW w:w="1200" w:type="dxa"/>
            <w:noWrap/>
            <w:hideMark/>
          </w:tcPr>
          <w:p w14:paraId="60AB0A7B" w14:textId="57AA33CF" w:rsidR="007B7169" w:rsidRPr="005E0688" w:rsidRDefault="007B7169" w:rsidP="007B7169">
            <w:pPr>
              <w:spacing w:line="240" w:lineRule="auto"/>
              <w:jc w:val="right"/>
              <w:rPr>
                <w:rFonts w:eastAsia="Times New Roman" w:cs="Arial"/>
                <w:color w:val="000000"/>
                <w:szCs w:val="20"/>
                <w:lang w:val="es-419" w:eastAsia="es-419"/>
              </w:rPr>
            </w:pPr>
            <w:r w:rsidRPr="00FA76FF">
              <w:t>46</w:t>
            </w:r>
          </w:p>
        </w:tc>
      </w:tr>
      <w:tr w:rsidR="007B7169" w:rsidRPr="005E0688" w14:paraId="633C8673" w14:textId="77777777" w:rsidTr="001D39EF">
        <w:trPr>
          <w:trHeight w:val="300"/>
          <w:jc w:val="center"/>
        </w:trPr>
        <w:tc>
          <w:tcPr>
            <w:tcW w:w="2680" w:type="dxa"/>
            <w:hideMark/>
          </w:tcPr>
          <w:p w14:paraId="3DE35C74" w14:textId="079D9115" w:rsidR="007B7169" w:rsidRPr="007B7169" w:rsidRDefault="007B7169" w:rsidP="007B7169">
            <w:pPr>
              <w:spacing w:line="240" w:lineRule="auto"/>
              <w:jc w:val="left"/>
              <w:rPr>
                <w:rFonts w:eastAsia="Times New Roman" w:cs="Arial"/>
                <w:b/>
                <w:bCs/>
                <w:color w:val="000000"/>
                <w:szCs w:val="20"/>
                <w:lang w:val="es-419" w:eastAsia="es-419"/>
              </w:rPr>
            </w:pPr>
            <w:r w:rsidRPr="007B7169">
              <w:rPr>
                <w:b/>
                <w:bCs/>
              </w:rPr>
              <w:t>Ambientales</w:t>
            </w:r>
          </w:p>
        </w:tc>
        <w:tc>
          <w:tcPr>
            <w:tcW w:w="1200" w:type="dxa"/>
            <w:hideMark/>
          </w:tcPr>
          <w:p w14:paraId="565EAC06" w14:textId="48C98019" w:rsidR="007B7169" w:rsidRPr="005E0688" w:rsidRDefault="007B7169" w:rsidP="007B7169">
            <w:pPr>
              <w:spacing w:line="240" w:lineRule="auto"/>
              <w:jc w:val="right"/>
              <w:rPr>
                <w:rFonts w:eastAsia="Times New Roman" w:cs="Arial"/>
                <w:color w:val="000000"/>
                <w:szCs w:val="20"/>
                <w:lang w:val="es-419" w:eastAsia="es-419"/>
              </w:rPr>
            </w:pPr>
            <w:r w:rsidRPr="00FA76FF">
              <w:t>2</w:t>
            </w:r>
          </w:p>
        </w:tc>
        <w:tc>
          <w:tcPr>
            <w:tcW w:w="1200" w:type="dxa"/>
            <w:hideMark/>
          </w:tcPr>
          <w:p w14:paraId="08FA52E0" w14:textId="539083F8" w:rsidR="007B7169" w:rsidRPr="005E0688" w:rsidRDefault="007B7169" w:rsidP="007B7169">
            <w:pPr>
              <w:spacing w:line="240" w:lineRule="auto"/>
              <w:jc w:val="right"/>
              <w:rPr>
                <w:rFonts w:eastAsia="Times New Roman" w:cs="Arial"/>
                <w:color w:val="000000"/>
                <w:szCs w:val="20"/>
                <w:lang w:val="es-419" w:eastAsia="es-419"/>
              </w:rPr>
            </w:pPr>
            <w:r w:rsidRPr="00FA76FF">
              <w:t>0</w:t>
            </w:r>
          </w:p>
        </w:tc>
        <w:tc>
          <w:tcPr>
            <w:tcW w:w="1200" w:type="dxa"/>
            <w:noWrap/>
            <w:hideMark/>
          </w:tcPr>
          <w:p w14:paraId="064A160C" w14:textId="762BEFC4" w:rsidR="007B7169" w:rsidRPr="005E0688" w:rsidRDefault="007B7169" w:rsidP="007B7169">
            <w:pPr>
              <w:spacing w:line="240" w:lineRule="auto"/>
              <w:jc w:val="right"/>
              <w:rPr>
                <w:rFonts w:eastAsia="Times New Roman" w:cs="Arial"/>
                <w:color w:val="000000"/>
                <w:szCs w:val="20"/>
                <w:lang w:val="es-419" w:eastAsia="es-419"/>
              </w:rPr>
            </w:pPr>
            <w:r w:rsidRPr="00FA76FF">
              <w:t>5</w:t>
            </w:r>
          </w:p>
        </w:tc>
      </w:tr>
      <w:tr w:rsidR="007B7169" w:rsidRPr="005E0688" w14:paraId="0C29AA5E" w14:textId="77777777" w:rsidTr="001D39EF">
        <w:trPr>
          <w:trHeight w:val="300"/>
          <w:jc w:val="center"/>
        </w:trPr>
        <w:tc>
          <w:tcPr>
            <w:tcW w:w="2680" w:type="dxa"/>
            <w:hideMark/>
          </w:tcPr>
          <w:p w14:paraId="23FEDD8B" w14:textId="498FF3EE" w:rsidR="007B7169" w:rsidRPr="007B7169" w:rsidRDefault="007B7169" w:rsidP="007B7169">
            <w:pPr>
              <w:spacing w:line="240" w:lineRule="auto"/>
              <w:jc w:val="left"/>
              <w:rPr>
                <w:rFonts w:eastAsia="Times New Roman" w:cs="Arial"/>
                <w:b/>
                <w:bCs/>
                <w:color w:val="000000"/>
                <w:szCs w:val="20"/>
                <w:lang w:val="es-419" w:eastAsia="es-419"/>
              </w:rPr>
            </w:pPr>
            <w:r w:rsidRPr="007B7169">
              <w:rPr>
                <w:b/>
                <w:bCs/>
              </w:rPr>
              <w:t>Contrabando</w:t>
            </w:r>
          </w:p>
        </w:tc>
        <w:tc>
          <w:tcPr>
            <w:tcW w:w="1200" w:type="dxa"/>
            <w:hideMark/>
          </w:tcPr>
          <w:p w14:paraId="0385E954" w14:textId="03448B97" w:rsidR="007B7169" w:rsidRPr="005E0688" w:rsidRDefault="007B7169" w:rsidP="007B7169">
            <w:pPr>
              <w:spacing w:line="240" w:lineRule="auto"/>
              <w:jc w:val="right"/>
              <w:rPr>
                <w:rFonts w:eastAsia="Times New Roman" w:cs="Arial"/>
                <w:color w:val="000000"/>
                <w:szCs w:val="20"/>
                <w:lang w:val="es-419" w:eastAsia="es-419"/>
              </w:rPr>
            </w:pPr>
            <w:r w:rsidRPr="00FA76FF">
              <w:t>3</w:t>
            </w:r>
          </w:p>
        </w:tc>
        <w:tc>
          <w:tcPr>
            <w:tcW w:w="1200" w:type="dxa"/>
            <w:hideMark/>
          </w:tcPr>
          <w:p w14:paraId="4354E819" w14:textId="1630518C" w:rsidR="007B7169" w:rsidRPr="005E0688" w:rsidRDefault="007B7169" w:rsidP="007B7169">
            <w:pPr>
              <w:spacing w:line="240" w:lineRule="auto"/>
              <w:jc w:val="right"/>
              <w:rPr>
                <w:rFonts w:eastAsia="Times New Roman" w:cs="Arial"/>
                <w:color w:val="000000"/>
                <w:szCs w:val="20"/>
                <w:lang w:val="es-419" w:eastAsia="es-419"/>
              </w:rPr>
            </w:pPr>
            <w:r w:rsidRPr="00FA76FF">
              <w:t>2</w:t>
            </w:r>
          </w:p>
        </w:tc>
        <w:tc>
          <w:tcPr>
            <w:tcW w:w="1200" w:type="dxa"/>
            <w:noWrap/>
            <w:hideMark/>
          </w:tcPr>
          <w:p w14:paraId="2B58E3D8" w14:textId="7E61F2D7" w:rsidR="007B7169" w:rsidRPr="005E0688" w:rsidRDefault="007B7169" w:rsidP="007B7169">
            <w:pPr>
              <w:spacing w:line="240" w:lineRule="auto"/>
              <w:jc w:val="right"/>
              <w:rPr>
                <w:rFonts w:eastAsia="Times New Roman" w:cs="Arial"/>
                <w:color w:val="000000"/>
                <w:szCs w:val="20"/>
                <w:lang w:val="es-419" w:eastAsia="es-419"/>
              </w:rPr>
            </w:pPr>
            <w:r w:rsidRPr="00FA76FF">
              <w:t>2</w:t>
            </w:r>
          </w:p>
        </w:tc>
      </w:tr>
      <w:tr w:rsidR="005E0688" w:rsidRPr="005E0688" w14:paraId="49060564" w14:textId="77777777" w:rsidTr="001D39EF">
        <w:trPr>
          <w:trHeight w:val="300"/>
          <w:jc w:val="center"/>
        </w:trPr>
        <w:tc>
          <w:tcPr>
            <w:tcW w:w="2680" w:type="dxa"/>
            <w:hideMark/>
          </w:tcPr>
          <w:p w14:paraId="357983E8" w14:textId="77777777" w:rsidR="005E0688" w:rsidRPr="005E0688" w:rsidRDefault="005E0688" w:rsidP="005E0688">
            <w:pPr>
              <w:spacing w:line="240" w:lineRule="auto"/>
              <w:jc w:val="left"/>
              <w:rPr>
                <w:rFonts w:eastAsia="Times New Roman" w:cs="Arial"/>
                <w:b/>
                <w:bCs/>
                <w:color w:val="000000"/>
                <w:szCs w:val="20"/>
                <w:lang w:val="es-419" w:eastAsia="es-419"/>
              </w:rPr>
            </w:pPr>
            <w:r w:rsidRPr="005E0688">
              <w:rPr>
                <w:rFonts w:eastAsia="Times New Roman" w:cs="Arial"/>
                <w:b/>
                <w:bCs/>
                <w:color w:val="000000"/>
                <w:szCs w:val="20"/>
                <w:lang w:eastAsia="es-419"/>
              </w:rPr>
              <w:t>Total</w:t>
            </w:r>
          </w:p>
        </w:tc>
        <w:tc>
          <w:tcPr>
            <w:tcW w:w="1200" w:type="dxa"/>
            <w:hideMark/>
          </w:tcPr>
          <w:p w14:paraId="11C6381F" w14:textId="77777777" w:rsidR="005E0688" w:rsidRPr="005E0688" w:rsidRDefault="005E0688" w:rsidP="005E0688">
            <w:pPr>
              <w:spacing w:line="240" w:lineRule="auto"/>
              <w:jc w:val="right"/>
              <w:rPr>
                <w:rFonts w:eastAsia="Times New Roman" w:cs="Arial"/>
                <w:color w:val="000000"/>
                <w:szCs w:val="20"/>
                <w:lang w:val="es-419" w:eastAsia="es-419"/>
              </w:rPr>
            </w:pPr>
            <w:r w:rsidRPr="005E0688">
              <w:rPr>
                <w:rFonts w:eastAsia="Times New Roman" w:cs="Arial"/>
                <w:color w:val="000000"/>
                <w:szCs w:val="20"/>
                <w:lang w:eastAsia="es-419"/>
              </w:rPr>
              <w:t>1247</w:t>
            </w:r>
          </w:p>
        </w:tc>
        <w:tc>
          <w:tcPr>
            <w:tcW w:w="1200" w:type="dxa"/>
            <w:hideMark/>
          </w:tcPr>
          <w:p w14:paraId="7C63B2C2" w14:textId="77777777" w:rsidR="005E0688" w:rsidRPr="005E0688" w:rsidRDefault="005E0688" w:rsidP="005E0688">
            <w:pPr>
              <w:spacing w:line="240" w:lineRule="auto"/>
              <w:jc w:val="right"/>
              <w:rPr>
                <w:rFonts w:eastAsia="Times New Roman" w:cs="Arial"/>
                <w:color w:val="000000"/>
                <w:szCs w:val="20"/>
                <w:lang w:val="es-419" w:eastAsia="es-419"/>
              </w:rPr>
            </w:pPr>
            <w:r w:rsidRPr="005E0688">
              <w:rPr>
                <w:rFonts w:eastAsia="Times New Roman" w:cs="Arial"/>
                <w:color w:val="000000"/>
                <w:szCs w:val="20"/>
                <w:lang w:eastAsia="es-419"/>
              </w:rPr>
              <w:t>1234</w:t>
            </w:r>
          </w:p>
        </w:tc>
        <w:tc>
          <w:tcPr>
            <w:tcW w:w="1200" w:type="dxa"/>
            <w:noWrap/>
            <w:hideMark/>
          </w:tcPr>
          <w:p w14:paraId="17CDB0D8" w14:textId="77777777" w:rsidR="005E0688" w:rsidRPr="005E0688" w:rsidRDefault="005E0688" w:rsidP="005E0688">
            <w:pPr>
              <w:spacing w:line="240" w:lineRule="auto"/>
              <w:jc w:val="right"/>
              <w:rPr>
                <w:rFonts w:eastAsia="Times New Roman" w:cs="Arial"/>
                <w:color w:val="000000"/>
                <w:szCs w:val="20"/>
                <w:lang w:val="es-419" w:eastAsia="es-419"/>
              </w:rPr>
            </w:pPr>
            <w:r w:rsidRPr="005E0688">
              <w:rPr>
                <w:rFonts w:eastAsia="Times New Roman" w:cs="Arial"/>
                <w:color w:val="000000"/>
                <w:szCs w:val="20"/>
                <w:lang w:eastAsia="es-419"/>
              </w:rPr>
              <w:t>1151</w:t>
            </w:r>
          </w:p>
        </w:tc>
      </w:tr>
    </w:tbl>
    <w:p w14:paraId="709E911F" w14:textId="77777777" w:rsidR="001D5149" w:rsidRDefault="001D5149" w:rsidP="007605E6">
      <w:pPr>
        <w:rPr>
          <w:rFonts w:eastAsia="Arial" w:cs="Arial"/>
          <w:szCs w:val="20"/>
        </w:rPr>
      </w:pPr>
    </w:p>
    <w:p w14:paraId="09DB7214" w14:textId="2E50E644" w:rsidR="007605E6" w:rsidRPr="00382A62" w:rsidRDefault="00252B3F" w:rsidP="007605E6">
      <w:pPr>
        <w:rPr>
          <w:rFonts w:eastAsia="Arial" w:cs="Arial"/>
          <w:szCs w:val="20"/>
        </w:rPr>
      </w:pPr>
      <w:r w:rsidRPr="00382A62">
        <w:rPr>
          <w:rFonts w:eastAsia="Arial" w:cs="Arial"/>
          <w:szCs w:val="20"/>
        </w:rPr>
        <w:t>Durante el periodo 2023 no se registran reclamaciones fundamentadas sobre la violación de la privacidad y la fuga de datos de los clientes</w:t>
      </w:r>
      <w:r w:rsidR="007605E6" w:rsidRPr="00382A62">
        <w:rPr>
          <w:rFonts w:eastAsia="Arial" w:cs="Arial"/>
          <w:szCs w:val="20"/>
        </w:rPr>
        <w:t>.</w:t>
      </w:r>
    </w:p>
    <w:p w14:paraId="2EFEB792" w14:textId="77777777" w:rsidR="00E9515D" w:rsidRPr="00382A62" w:rsidRDefault="00E9515D" w:rsidP="00E9515D">
      <w:pPr>
        <w:rPr>
          <w:rFonts w:cs="Arial"/>
          <w:szCs w:val="20"/>
        </w:rPr>
      </w:pPr>
      <w:r w:rsidRPr="00382A62">
        <w:rPr>
          <w:rFonts w:cs="Arial"/>
          <w:szCs w:val="20"/>
        </w:rPr>
        <w:lastRenderedPageBreak/>
        <w:t>Observamos un leve aumento del 10% de casos relacionados con quejas de producto principalmente en el apartado de consumidores, y una disminución del 14% en los casos de clientes.</w:t>
      </w:r>
    </w:p>
    <w:p w14:paraId="1B38C223" w14:textId="77777777" w:rsidR="00E9515D" w:rsidRPr="00382A62" w:rsidRDefault="00E9515D" w:rsidP="00E9515D">
      <w:pPr>
        <w:rPr>
          <w:rFonts w:cs="Arial"/>
          <w:szCs w:val="20"/>
        </w:rPr>
      </w:pPr>
      <w:r w:rsidRPr="00382A62">
        <w:rPr>
          <w:rFonts w:cs="Arial"/>
          <w:szCs w:val="20"/>
        </w:rPr>
        <w:t>Por otra parte, FIFCO evalúa sus mecanismos de reclamación a través de seguimientos mensuales que se presentan a los diferentes negocios. Adicionalmente participamos en auditorías internas y externas de este proceso.</w:t>
      </w:r>
    </w:p>
    <w:p w14:paraId="42B4255C" w14:textId="343748F6" w:rsidR="007605E6" w:rsidRPr="00382A62" w:rsidRDefault="007605E6" w:rsidP="004A55EC">
      <w:pPr>
        <w:pStyle w:val="Prrafodelista"/>
        <w:numPr>
          <w:ilvl w:val="0"/>
          <w:numId w:val="55"/>
        </w:numPr>
        <w:rPr>
          <w:rFonts w:eastAsia="Arial" w:cs="Arial"/>
          <w:b/>
          <w:szCs w:val="20"/>
        </w:rPr>
      </w:pPr>
      <w:r w:rsidRPr="00382A62">
        <w:rPr>
          <w:rFonts w:eastAsia="Arial" w:cs="Arial"/>
          <w:b/>
          <w:szCs w:val="20"/>
        </w:rPr>
        <w:t>Sostenibilidad de la Cadena de Valor</w:t>
      </w:r>
    </w:p>
    <w:p w14:paraId="51D7561E" w14:textId="77777777" w:rsidR="00F26582" w:rsidRPr="00382A62" w:rsidRDefault="00F26582" w:rsidP="00F26582">
      <w:pPr>
        <w:rPr>
          <w:rFonts w:cs="Arial"/>
          <w:szCs w:val="20"/>
        </w:rPr>
      </w:pPr>
      <w:r w:rsidRPr="00382A62">
        <w:rPr>
          <w:rFonts w:cs="Arial"/>
          <w:szCs w:val="20"/>
        </w:rPr>
        <w:t>Estas iniciativas corresponden a una extensión de la excelencia en sus propias prácticas, hacia su cadena de valor. Esto se realiza a través del Programa de Compras Sostenibles, con el que se promueve la mejora continua y la adopción de prácticas que aportan de forma simultánea, a la preservación del medio ambiente y a la competitividad de los proveedores y clientes.</w:t>
      </w:r>
    </w:p>
    <w:p w14:paraId="5FDAF57A" w14:textId="3340A3C4" w:rsidR="007605E6" w:rsidRPr="00382A62" w:rsidRDefault="00F26582" w:rsidP="00F26582">
      <w:pPr>
        <w:rPr>
          <w:rFonts w:cs="Arial"/>
          <w:szCs w:val="20"/>
        </w:rPr>
      </w:pPr>
      <w:r w:rsidRPr="00382A62">
        <w:rPr>
          <w:rFonts w:cs="Arial"/>
          <w:szCs w:val="20"/>
        </w:rPr>
        <w:t xml:space="preserve"> </w:t>
      </w:r>
      <w:r w:rsidR="007605E6" w:rsidRPr="00382A62">
        <w:rPr>
          <w:rFonts w:cs="Arial"/>
          <w:szCs w:val="20"/>
        </w:rPr>
        <w:t>Las siguientes iniciativas de sostenibilidad existen a lo largo de la cadena de valor:</w:t>
      </w:r>
    </w:p>
    <w:p w14:paraId="7BE27E91" w14:textId="77777777" w:rsidR="00880678" w:rsidRDefault="00880678" w:rsidP="007605E6">
      <w:pPr>
        <w:pStyle w:val="Descripcin"/>
        <w:rPr>
          <w:rFonts w:cs="Arial"/>
          <w:szCs w:val="20"/>
        </w:rPr>
      </w:pPr>
    </w:p>
    <w:p w14:paraId="6E0842A0" w14:textId="2F6CCC33" w:rsidR="007605E6" w:rsidRPr="00382A62" w:rsidRDefault="007605E6" w:rsidP="007605E6">
      <w:pPr>
        <w:pStyle w:val="Descripcin"/>
        <w:rPr>
          <w:rFonts w:cs="Arial"/>
          <w:szCs w:val="20"/>
        </w:rPr>
      </w:pPr>
      <w:bookmarkStart w:id="190" w:name="_Toc169624741"/>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45</w:t>
      </w:r>
      <w:r w:rsidR="00423C23" w:rsidRPr="00382A62">
        <w:rPr>
          <w:rFonts w:cs="Arial"/>
          <w:noProof/>
          <w:szCs w:val="20"/>
        </w:rPr>
        <w:fldChar w:fldCharType="end"/>
      </w:r>
      <w:r w:rsidRPr="00382A62">
        <w:rPr>
          <w:rFonts w:cs="Arial"/>
          <w:szCs w:val="20"/>
        </w:rPr>
        <w:t xml:space="preserve"> - Iniciativas de Sostenibilidad a lo largo de la cadena de valor</w:t>
      </w:r>
      <w:bookmarkEnd w:id="190"/>
    </w:p>
    <w:tbl>
      <w:tblPr>
        <w:tblW w:w="10060" w:type="dxa"/>
        <w:jc w:val="center"/>
        <w:tblCellMar>
          <w:left w:w="0" w:type="dxa"/>
          <w:right w:w="0" w:type="dxa"/>
        </w:tblCellMar>
        <w:tblLook w:val="04A0" w:firstRow="1" w:lastRow="0" w:firstColumn="1" w:lastColumn="0" w:noHBand="0" w:noVBand="1"/>
      </w:tblPr>
      <w:tblGrid>
        <w:gridCol w:w="2263"/>
        <w:gridCol w:w="7797"/>
      </w:tblGrid>
      <w:tr w:rsidR="0058433E" w:rsidRPr="00382A62" w14:paraId="5F0F21C2" w14:textId="77777777" w:rsidTr="005F3AFE">
        <w:trPr>
          <w:cantSplit/>
          <w:jc w:val="center"/>
        </w:trPr>
        <w:tc>
          <w:tcPr>
            <w:tcW w:w="2263" w:type="dxa"/>
            <w:tcBorders>
              <w:top w:val="single" w:sz="8" w:space="0" w:color="A6A6A6"/>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5D8DE112" w14:textId="77777777" w:rsidR="0058433E" w:rsidRPr="00382A62" w:rsidRDefault="0058433E">
            <w:pPr>
              <w:rPr>
                <w:rFonts w:cs="Arial"/>
                <w:b/>
                <w:bCs/>
                <w:szCs w:val="20"/>
              </w:rPr>
            </w:pPr>
            <w:r w:rsidRPr="00382A62">
              <w:rPr>
                <w:rFonts w:cs="Arial"/>
                <w:b/>
                <w:bCs/>
                <w:color w:val="000000"/>
                <w:szCs w:val="20"/>
              </w:rPr>
              <w:t>Compras Sostenibles</w:t>
            </w:r>
          </w:p>
        </w:tc>
        <w:tc>
          <w:tcPr>
            <w:tcW w:w="7797" w:type="dxa"/>
            <w:tcBorders>
              <w:top w:val="single" w:sz="8" w:space="0" w:color="A6A6A6"/>
              <w:left w:val="nil"/>
              <w:bottom w:val="single" w:sz="8" w:space="0" w:color="A6A6A6"/>
              <w:right w:val="single" w:sz="8" w:space="0" w:color="A6A6A6"/>
            </w:tcBorders>
            <w:tcMar>
              <w:top w:w="0" w:type="dxa"/>
              <w:left w:w="108" w:type="dxa"/>
              <w:bottom w:w="0" w:type="dxa"/>
              <w:right w:w="108" w:type="dxa"/>
            </w:tcMar>
            <w:vAlign w:val="center"/>
          </w:tcPr>
          <w:p w14:paraId="5B1F8A61" w14:textId="61329E8D" w:rsidR="0048443F" w:rsidRPr="00382A62" w:rsidRDefault="0048443F" w:rsidP="00FA0AF5">
            <w:pPr>
              <w:rPr>
                <w:rFonts w:cs="Arial"/>
                <w:szCs w:val="20"/>
              </w:rPr>
            </w:pPr>
            <w:r w:rsidRPr="00382A62">
              <w:rPr>
                <w:rFonts w:cs="Arial"/>
                <w:szCs w:val="20"/>
              </w:rPr>
              <w:t xml:space="preserve">Este programa aplica para toda la compañía, en cada una de sus geografías. Desde el inicio su objetivo central se ha </w:t>
            </w:r>
            <w:r w:rsidR="009407A7" w:rsidRPr="00382A62">
              <w:rPr>
                <w:rFonts w:cs="Arial"/>
                <w:szCs w:val="20"/>
              </w:rPr>
              <w:t>orientado</w:t>
            </w:r>
            <w:r w:rsidRPr="00382A62">
              <w:rPr>
                <w:rFonts w:cs="Arial"/>
                <w:szCs w:val="20"/>
              </w:rPr>
              <w:t xml:space="preserve"> hacia la mejora en el desempeño de nuestros proveedores en los ámbitos económico, social interno, social externo y ambiental, logrando así vincular a esta parte de la cadena de valor con el propósito de la empresa.</w:t>
            </w:r>
          </w:p>
          <w:p w14:paraId="52D20B7A" w14:textId="108A0566" w:rsidR="0048443F" w:rsidRPr="00382A62" w:rsidRDefault="00FA0AF5" w:rsidP="00FA0AF5">
            <w:pPr>
              <w:rPr>
                <w:rFonts w:cs="Arial"/>
                <w:szCs w:val="20"/>
              </w:rPr>
            </w:pPr>
            <w:r w:rsidRPr="00382A62">
              <w:rPr>
                <w:rFonts w:cs="Arial"/>
                <w:szCs w:val="20"/>
              </w:rPr>
              <w:t>E</w:t>
            </w:r>
            <w:r w:rsidR="00EE05D6" w:rsidRPr="00382A62">
              <w:rPr>
                <w:rFonts w:cs="Arial"/>
                <w:szCs w:val="20"/>
              </w:rPr>
              <w:t>l año 2023 alcanzamos la mayor cantidad de proveedores cubiertos desde 2019, logrando una cobertura en todas las unidades de negocio de 352 proveedores.</w:t>
            </w:r>
            <w:r w:rsidR="006236D6" w:rsidRPr="00382A62">
              <w:rPr>
                <w:rFonts w:cs="Arial"/>
                <w:szCs w:val="20"/>
              </w:rPr>
              <w:t xml:space="preserve"> Para el año 2023, el 71% de todos los proveedores obtuvieron notas superiores a 80, lo que representa un aumento del 13% en comparación con</w:t>
            </w:r>
            <w:r w:rsidRPr="00382A62">
              <w:rPr>
                <w:rFonts w:cs="Arial"/>
                <w:szCs w:val="20"/>
              </w:rPr>
              <w:t xml:space="preserve"> </w:t>
            </w:r>
            <w:r w:rsidR="006236D6" w:rsidRPr="00382A62">
              <w:rPr>
                <w:rFonts w:cs="Arial"/>
                <w:szCs w:val="20"/>
              </w:rPr>
              <w:t>el año 2022.</w:t>
            </w:r>
          </w:p>
        </w:tc>
      </w:tr>
      <w:tr w:rsidR="0058433E" w:rsidRPr="00382A62" w14:paraId="5E8E6B06" w14:textId="77777777" w:rsidTr="0058433E">
        <w:trPr>
          <w:cantSplit/>
          <w:jc w:val="center"/>
        </w:trPr>
        <w:tc>
          <w:tcPr>
            <w:tcW w:w="226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628EF288" w14:textId="77777777" w:rsidR="0058433E" w:rsidRPr="00382A62" w:rsidRDefault="0058433E">
            <w:pPr>
              <w:rPr>
                <w:rFonts w:cs="Arial"/>
                <w:b/>
                <w:bCs/>
                <w:szCs w:val="20"/>
              </w:rPr>
            </w:pPr>
            <w:r w:rsidRPr="00382A62">
              <w:rPr>
                <w:rFonts w:cs="Arial"/>
                <w:b/>
                <w:bCs/>
                <w:color w:val="000000"/>
                <w:szCs w:val="20"/>
              </w:rPr>
              <w:t>Clientes Sostenibles</w:t>
            </w:r>
          </w:p>
        </w:tc>
        <w:tc>
          <w:tcPr>
            <w:tcW w:w="7797" w:type="dxa"/>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075C6505" w14:textId="77777777" w:rsidR="00134F9A" w:rsidRPr="00382A62" w:rsidRDefault="003559AA" w:rsidP="003559AA">
            <w:pPr>
              <w:rPr>
                <w:rFonts w:cs="Arial"/>
                <w:szCs w:val="20"/>
              </w:rPr>
            </w:pPr>
            <w:r w:rsidRPr="00382A62">
              <w:rPr>
                <w:rFonts w:cs="Arial"/>
                <w:szCs w:val="20"/>
              </w:rPr>
              <w:t>A partir del 2020, se modificó el enfoque del Programa de Clientes Sostenibles de la mano del área de excelencia</w:t>
            </w:r>
            <w:r w:rsidR="00134F9A" w:rsidRPr="00382A62">
              <w:rPr>
                <w:rFonts w:cs="Arial"/>
                <w:szCs w:val="20"/>
              </w:rPr>
              <w:t xml:space="preserve"> </w:t>
            </w:r>
            <w:r w:rsidRPr="00382A62">
              <w:rPr>
                <w:rFonts w:cs="Arial"/>
                <w:szCs w:val="20"/>
              </w:rPr>
              <w:t>comercial y el desarrollo del Canal</w:t>
            </w:r>
            <w:r w:rsidR="00134F9A" w:rsidRPr="00382A62">
              <w:rPr>
                <w:rFonts w:cs="Arial"/>
                <w:szCs w:val="20"/>
              </w:rPr>
              <w:t xml:space="preserve"> </w:t>
            </w:r>
            <w:r w:rsidRPr="00382A62">
              <w:rPr>
                <w:rFonts w:cs="Arial"/>
                <w:szCs w:val="20"/>
              </w:rPr>
              <w:t>On Premise, por medio de la</w:t>
            </w:r>
            <w:r w:rsidR="00134F9A" w:rsidRPr="00382A62">
              <w:rPr>
                <w:rFonts w:cs="Arial"/>
                <w:szCs w:val="20"/>
              </w:rPr>
              <w:t xml:space="preserve"> </w:t>
            </w:r>
            <w:r w:rsidRPr="00382A62">
              <w:rPr>
                <w:rFonts w:cs="Arial"/>
                <w:szCs w:val="20"/>
              </w:rPr>
              <w:t>colaboración en la plataforma FIFCO</w:t>
            </w:r>
            <w:r w:rsidR="00134F9A" w:rsidRPr="00382A62">
              <w:rPr>
                <w:rFonts w:cs="Arial"/>
                <w:szCs w:val="20"/>
              </w:rPr>
              <w:t xml:space="preserve"> </w:t>
            </w:r>
            <w:r w:rsidRPr="00382A62">
              <w:rPr>
                <w:rFonts w:cs="Arial"/>
                <w:szCs w:val="20"/>
              </w:rPr>
              <w:t>Asesoría, donde los clientes tienen</w:t>
            </w:r>
            <w:r w:rsidR="00134F9A" w:rsidRPr="00382A62">
              <w:rPr>
                <w:rFonts w:cs="Arial"/>
                <w:szCs w:val="20"/>
              </w:rPr>
              <w:t xml:space="preserve"> </w:t>
            </w:r>
            <w:r w:rsidRPr="00382A62">
              <w:rPr>
                <w:rFonts w:cs="Arial"/>
                <w:szCs w:val="20"/>
              </w:rPr>
              <w:t>acceso a material relevante en temas</w:t>
            </w:r>
            <w:r w:rsidR="00134F9A" w:rsidRPr="00382A62">
              <w:rPr>
                <w:rFonts w:cs="Arial"/>
                <w:szCs w:val="20"/>
              </w:rPr>
              <w:t xml:space="preserve"> </w:t>
            </w:r>
            <w:r w:rsidRPr="00382A62">
              <w:rPr>
                <w:rFonts w:cs="Arial"/>
                <w:szCs w:val="20"/>
              </w:rPr>
              <w:t>ambientales, sociales y desarrollo de</w:t>
            </w:r>
            <w:r w:rsidR="00134F9A" w:rsidRPr="00382A62">
              <w:rPr>
                <w:rFonts w:cs="Arial"/>
                <w:szCs w:val="20"/>
              </w:rPr>
              <w:t xml:space="preserve"> </w:t>
            </w:r>
            <w:r w:rsidRPr="00382A62">
              <w:rPr>
                <w:rFonts w:cs="Arial"/>
                <w:szCs w:val="20"/>
              </w:rPr>
              <w:t>negocio.</w:t>
            </w:r>
            <w:r w:rsidR="00134F9A" w:rsidRPr="00382A62">
              <w:rPr>
                <w:rFonts w:cs="Arial"/>
                <w:szCs w:val="20"/>
              </w:rPr>
              <w:t xml:space="preserve"> </w:t>
            </w:r>
          </w:p>
          <w:p w14:paraId="20FB2A31" w14:textId="0C7B805A" w:rsidR="0058433E" w:rsidRPr="00382A62" w:rsidRDefault="003559AA" w:rsidP="00134F9A">
            <w:pPr>
              <w:rPr>
                <w:rFonts w:cs="Arial"/>
                <w:szCs w:val="20"/>
              </w:rPr>
            </w:pPr>
            <w:r w:rsidRPr="00382A62">
              <w:rPr>
                <w:rFonts w:cs="Arial"/>
                <w:szCs w:val="20"/>
              </w:rPr>
              <w:t>En el año 2023 se logró incluir nuevo</w:t>
            </w:r>
            <w:r w:rsidR="00134F9A" w:rsidRPr="00382A62">
              <w:rPr>
                <w:rFonts w:cs="Arial"/>
                <w:szCs w:val="20"/>
              </w:rPr>
              <w:t xml:space="preserve"> </w:t>
            </w:r>
            <w:r w:rsidRPr="00382A62">
              <w:rPr>
                <w:rFonts w:cs="Arial"/>
                <w:szCs w:val="20"/>
              </w:rPr>
              <w:t>contenido para la plataforma Florida</w:t>
            </w:r>
            <w:r w:rsidR="00134F9A" w:rsidRPr="00382A62">
              <w:rPr>
                <w:rFonts w:cs="Arial"/>
                <w:szCs w:val="20"/>
              </w:rPr>
              <w:t xml:space="preserve"> </w:t>
            </w:r>
            <w:r w:rsidRPr="00382A62">
              <w:rPr>
                <w:rFonts w:cs="Arial"/>
                <w:szCs w:val="20"/>
              </w:rPr>
              <w:t>Asesoría, integrando capacitaciones</w:t>
            </w:r>
            <w:r w:rsidR="00134F9A" w:rsidRPr="00382A62">
              <w:rPr>
                <w:rFonts w:cs="Arial"/>
                <w:szCs w:val="20"/>
              </w:rPr>
              <w:t xml:space="preserve"> </w:t>
            </w:r>
            <w:r w:rsidRPr="00382A62">
              <w:rPr>
                <w:rFonts w:cs="Arial"/>
                <w:szCs w:val="20"/>
              </w:rPr>
              <w:t>en temas de sostenibilidad de modo</w:t>
            </w:r>
            <w:r w:rsidR="00134F9A" w:rsidRPr="00382A62">
              <w:rPr>
                <w:rFonts w:cs="Arial"/>
                <w:szCs w:val="20"/>
              </w:rPr>
              <w:t xml:space="preserve"> </w:t>
            </w:r>
            <w:r w:rsidRPr="00382A62">
              <w:rPr>
                <w:rFonts w:cs="Arial"/>
                <w:szCs w:val="20"/>
              </w:rPr>
              <w:t>que los clientes puedan acceder</w:t>
            </w:r>
            <w:r w:rsidR="00134F9A" w:rsidRPr="00382A62">
              <w:rPr>
                <w:rFonts w:cs="Arial"/>
                <w:szCs w:val="20"/>
              </w:rPr>
              <w:t xml:space="preserve"> </w:t>
            </w:r>
            <w:r w:rsidRPr="00382A62">
              <w:rPr>
                <w:rFonts w:cs="Arial"/>
                <w:szCs w:val="20"/>
              </w:rPr>
              <w:t>a ellos y capacitarse de manera</w:t>
            </w:r>
            <w:r w:rsidR="00134F9A" w:rsidRPr="00382A62">
              <w:rPr>
                <w:rFonts w:cs="Arial"/>
                <w:szCs w:val="20"/>
              </w:rPr>
              <w:t xml:space="preserve"> </w:t>
            </w:r>
            <w:r w:rsidRPr="00382A62">
              <w:rPr>
                <w:rFonts w:cs="Arial"/>
                <w:szCs w:val="20"/>
              </w:rPr>
              <w:t>autónoma.</w:t>
            </w:r>
          </w:p>
        </w:tc>
      </w:tr>
    </w:tbl>
    <w:p w14:paraId="716605E2" w14:textId="77777777" w:rsidR="007605E6" w:rsidRPr="00382A62" w:rsidRDefault="007605E6" w:rsidP="007605E6">
      <w:pPr>
        <w:rPr>
          <w:rFonts w:cs="Arial"/>
          <w:szCs w:val="20"/>
        </w:rPr>
      </w:pPr>
    </w:p>
    <w:p w14:paraId="71FCA39D" w14:textId="77777777" w:rsidR="007605E6" w:rsidRPr="00382A62" w:rsidRDefault="007605E6" w:rsidP="00147CF2">
      <w:pPr>
        <w:pStyle w:val="Ttulo2"/>
        <w:numPr>
          <w:ilvl w:val="0"/>
          <w:numId w:val="27"/>
        </w:numPr>
        <w:rPr>
          <w:rFonts w:cs="Arial"/>
          <w:sz w:val="20"/>
          <w:szCs w:val="20"/>
        </w:rPr>
      </w:pPr>
      <w:bookmarkStart w:id="191" w:name="_Toc131092899"/>
      <w:bookmarkStart w:id="192" w:name="_Toc131501100"/>
      <w:bookmarkStart w:id="193" w:name="_Toc169624658"/>
      <w:r w:rsidRPr="00382A62">
        <w:rPr>
          <w:rFonts w:cs="Arial"/>
          <w:sz w:val="20"/>
          <w:szCs w:val="20"/>
        </w:rPr>
        <w:lastRenderedPageBreak/>
        <w:t>Resultados de Operación - Dimensión Social Interna</w:t>
      </w:r>
      <w:bookmarkEnd w:id="191"/>
      <w:bookmarkEnd w:id="192"/>
      <w:bookmarkEnd w:id="193"/>
    </w:p>
    <w:p w14:paraId="00F3201F" w14:textId="77777777" w:rsidR="007605E6" w:rsidRPr="00382A62" w:rsidRDefault="007605E6" w:rsidP="007605E6">
      <w:pPr>
        <w:rPr>
          <w:rFonts w:cs="Arial"/>
          <w:szCs w:val="20"/>
        </w:rPr>
      </w:pPr>
      <w:r w:rsidRPr="00382A62">
        <w:rPr>
          <w:rFonts w:eastAsia="Arial" w:cs="Arial"/>
          <w:szCs w:val="20"/>
        </w:rPr>
        <w:t>Dentro de las 9 metas planteadas al 2025, destacan 3 relacionadas a mujeres en posiciones de liderazgo, pobreza multidimensional y desarrollo de liderazgo holístico. Estas tres metas son fuertemente impulsadas desde programas FIFCO dirigidos a promover el desarrollo de su gente y el brindarle las herramientas necesarias para su crecimiento. Todas estas metas contribuyen a su vez a los Objetivos de Desarrollo Sostenible y son el marco de referencia para el desarrollo de los programas que a continuación detallaremos.</w:t>
      </w:r>
    </w:p>
    <w:p w14:paraId="0A240242" w14:textId="289A8760" w:rsidR="007605E6" w:rsidRPr="00382A62" w:rsidRDefault="003D305E" w:rsidP="00147CF2">
      <w:pPr>
        <w:pStyle w:val="Ttulo3"/>
        <w:numPr>
          <w:ilvl w:val="1"/>
          <w:numId w:val="27"/>
        </w:numPr>
        <w:rPr>
          <w:rFonts w:cs="Arial"/>
          <w:sz w:val="20"/>
          <w:szCs w:val="20"/>
        </w:rPr>
      </w:pPr>
      <w:r w:rsidRPr="00382A62">
        <w:rPr>
          <w:rFonts w:cs="Arial"/>
          <w:sz w:val="20"/>
          <w:szCs w:val="20"/>
        </w:rPr>
        <w:t xml:space="preserve"> </w:t>
      </w:r>
      <w:bookmarkStart w:id="194" w:name="_Toc169624659"/>
      <w:r w:rsidRPr="00382A62">
        <w:rPr>
          <w:rFonts w:cs="Arial"/>
          <w:sz w:val="20"/>
          <w:szCs w:val="20"/>
        </w:rPr>
        <w:t>AstroDesarrollo</w:t>
      </w:r>
      <w:bookmarkEnd w:id="194"/>
    </w:p>
    <w:p w14:paraId="22774BE9" w14:textId="43B82732" w:rsidR="007605E6" w:rsidRPr="00382A62" w:rsidRDefault="00866D79" w:rsidP="00866D79">
      <w:pPr>
        <w:rPr>
          <w:rFonts w:eastAsia="Arial" w:cs="Arial"/>
          <w:szCs w:val="20"/>
        </w:rPr>
      </w:pPr>
      <w:r w:rsidRPr="00382A62">
        <w:rPr>
          <w:rFonts w:eastAsia="Arial" w:cs="Arial"/>
          <w:szCs w:val="20"/>
        </w:rPr>
        <w:t>En 2023 se hizo el lanzamiento interno del nuevo programa AstroDesarrollo, cuyo objetivo es garantizar el desarrollo continuo y prosperidad interna de las personas colaboradoras, en especial quienes están en situaciones de vulnerabilidad</w:t>
      </w:r>
      <w:r w:rsidR="007605E6" w:rsidRPr="00382A62">
        <w:rPr>
          <w:rFonts w:eastAsia="Arial" w:cs="Arial"/>
          <w:szCs w:val="20"/>
        </w:rPr>
        <w:t>.</w:t>
      </w:r>
    </w:p>
    <w:p w14:paraId="79808E7A" w14:textId="26E99754" w:rsidR="007605E6" w:rsidRPr="00382A62" w:rsidRDefault="00EE4DF9" w:rsidP="001A18C7">
      <w:pPr>
        <w:pStyle w:val="Prrafodelista"/>
        <w:numPr>
          <w:ilvl w:val="0"/>
          <w:numId w:val="51"/>
        </w:numPr>
        <w:rPr>
          <w:rFonts w:cs="Arial"/>
          <w:szCs w:val="20"/>
        </w:rPr>
      </w:pPr>
      <w:r w:rsidRPr="00382A62">
        <w:rPr>
          <w:rFonts w:cs="Arial"/>
          <w:szCs w:val="20"/>
        </w:rPr>
        <w:t xml:space="preserve">Alineado con la meta ESG no. 7 para el 2027: “Reducir en un 50% el porcentaje de colaboradores en pobreza multidimensional </w:t>
      </w:r>
    </w:p>
    <w:p w14:paraId="604BA83C" w14:textId="099DD598" w:rsidR="001A18C7" w:rsidRPr="00382A62" w:rsidRDefault="001A18C7" w:rsidP="00C356C4">
      <w:pPr>
        <w:pStyle w:val="Prrafodelista"/>
        <w:numPr>
          <w:ilvl w:val="0"/>
          <w:numId w:val="51"/>
        </w:numPr>
        <w:rPr>
          <w:rFonts w:cs="Arial"/>
          <w:szCs w:val="20"/>
        </w:rPr>
      </w:pPr>
      <w:r w:rsidRPr="00382A62">
        <w:rPr>
          <w:rFonts w:cs="Arial"/>
          <w:szCs w:val="20"/>
        </w:rPr>
        <w:t>Se redujo el Índice de Pobreza Multidimensional (IPMe) en un 1,56%, alcanzando un 9.52% al cierre del 2023 con el 11.08% registrado en 2022. Este esfuerzo resultó en la mejora de la situación de 44 hogares, contribuyendo significativamente a nuestros objetivos.</w:t>
      </w:r>
    </w:p>
    <w:p w14:paraId="7524C7FE" w14:textId="00B62909" w:rsidR="00A94559" w:rsidRPr="00382A62" w:rsidRDefault="00A94559" w:rsidP="0015414B">
      <w:pPr>
        <w:pStyle w:val="Prrafodelista"/>
        <w:numPr>
          <w:ilvl w:val="0"/>
          <w:numId w:val="51"/>
        </w:numPr>
        <w:rPr>
          <w:rFonts w:cs="Arial"/>
          <w:szCs w:val="20"/>
        </w:rPr>
      </w:pPr>
      <w:r w:rsidRPr="00382A62">
        <w:rPr>
          <w:rFonts w:cs="Arial"/>
          <w:szCs w:val="20"/>
        </w:rPr>
        <w:t>Como parte de las estrategias para el desarrollo multidimensional en Hospitalidad ejecutamos acciones en ámbitos como: educación, salud, vivienda y aseguramiento, que permitieron reducir en 2,79% la incidencia de pobreza multidimensional en colaboradores y sus familias durante los primeros 6 meses de implementación.</w:t>
      </w:r>
    </w:p>
    <w:p w14:paraId="24602034" w14:textId="0EA1FF72" w:rsidR="00A94559" w:rsidRPr="00382A62" w:rsidRDefault="00A94559" w:rsidP="000577AB">
      <w:pPr>
        <w:pStyle w:val="Prrafodelista"/>
        <w:numPr>
          <w:ilvl w:val="0"/>
          <w:numId w:val="51"/>
        </w:numPr>
        <w:rPr>
          <w:rFonts w:cs="Arial"/>
          <w:szCs w:val="20"/>
        </w:rPr>
      </w:pPr>
      <w:r w:rsidRPr="00382A62">
        <w:rPr>
          <w:rFonts w:cs="Arial"/>
          <w:szCs w:val="20"/>
        </w:rPr>
        <w:t>Se formaron grupos de lecciones presenciales para finalización de bachillerato por madurez y tercer ciclo (séptimo, octavo y noveno); así como procesos con la CCSS para otorgar seguros médicos a familiares de colaboradores a través del servicio de protección familiar</w:t>
      </w:r>
    </w:p>
    <w:p w14:paraId="53E6D741" w14:textId="2BB978C1" w:rsidR="007605E6" w:rsidRPr="00382A62" w:rsidRDefault="007605E6" w:rsidP="00147CF2">
      <w:pPr>
        <w:pStyle w:val="Ttulo3"/>
        <w:numPr>
          <w:ilvl w:val="1"/>
          <w:numId w:val="27"/>
        </w:numPr>
        <w:rPr>
          <w:rFonts w:cs="Arial"/>
          <w:sz w:val="20"/>
          <w:szCs w:val="20"/>
        </w:rPr>
      </w:pPr>
      <w:bookmarkStart w:id="195" w:name="_Toc131092901"/>
      <w:bookmarkStart w:id="196" w:name="_Toc131501102"/>
      <w:bookmarkStart w:id="197" w:name="_Toc169624660"/>
      <w:r w:rsidRPr="00382A62">
        <w:rPr>
          <w:rFonts w:cs="Arial"/>
          <w:sz w:val="20"/>
          <w:szCs w:val="20"/>
        </w:rPr>
        <w:t>Derechos Humanos</w:t>
      </w:r>
      <w:r w:rsidR="003F383C" w:rsidRPr="00382A62">
        <w:rPr>
          <w:rFonts w:cs="Arial"/>
          <w:sz w:val="20"/>
          <w:szCs w:val="20"/>
        </w:rPr>
        <w:t>,</w:t>
      </w:r>
      <w:r w:rsidRPr="00382A62">
        <w:rPr>
          <w:rFonts w:cs="Arial"/>
          <w:sz w:val="20"/>
          <w:szCs w:val="20"/>
        </w:rPr>
        <w:t xml:space="preserve"> Diversidad e Inclusión</w:t>
      </w:r>
      <w:bookmarkEnd w:id="195"/>
      <w:bookmarkEnd w:id="196"/>
      <w:bookmarkEnd w:id="197"/>
    </w:p>
    <w:p w14:paraId="5A3A450F" w14:textId="77777777" w:rsidR="00C92640" w:rsidRPr="00382A62" w:rsidRDefault="00882E8F" w:rsidP="00882E8F">
      <w:pPr>
        <w:rPr>
          <w:rFonts w:eastAsia="Arial" w:cs="Arial"/>
          <w:szCs w:val="20"/>
        </w:rPr>
      </w:pPr>
      <w:r w:rsidRPr="00382A62">
        <w:rPr>
          <w:rFonts w:eastAsia="Arial" w:cs="Arial"/>
          <w:szCs w:val="20"/>
        </w:rPr>
        <w:t xml:space="preserve">FIFCO trabajó en una estrategia para los próximos años con un foco común en el compromiso de fortalecer la presencia de mujeres en puestos de liderazgo y con particularidades de acuerdo con cada geografía. Se fundamenta en el valor de las perspectivas diversas, que son aportadas por las personas desde su valor único de diversidad, siendo el modelo de liderazgo de la empresa la plataforma sobre la que se desarrolla la propuesta. </w:t>
      </w:r>
    </w:p>
    <w:p w14:paraId="655C44A5" w14:textId="2410C573" w:rsidR="00510809" w:rsidRPr="00382A62" w:rsidRDefault="007605E6" w:rsidP="00F11676">
      <w:pPr>
        <w:rPr>
          <w:rFonts w:cs="Arial"/>
          <w:szCs w:val="20"/>
        </w:rPr>
      </w:pPr>
      <w:r w:rsidRPr="00382A62">
        <w:rPr>
          <w:rFonts w:eastAsia="Arial" w:cs="Arial"/>
          <w:szCs w:val="20"/>
        </w:rPr>
        <w:t>Destacan las siguientes acciones:</w:t>
      </w:r>
    </w:p>
    <w:p w14:paraId="1FC25D36" w14:textId="77777777" w:rsidR="00510809" w:rsidRPr="00382A62" w:rsidRDefault="00510809" w:rsidP="00510809">
      <w:pPr>
        <w:pStyle w:val="Prrafodelista"/>
        <w:numPr>
          <w:ilvl w:val="0"/>
          <w:numId w:val="45"/>
        </w:numPr>
        <w:rPr>
          <w:rFonts w:cs="Arial"/>
          <w:szCs w:val="20"/>
        </w:rPr>
      </w:pPr>
      <w:r w:rsidRPr="00382A62">
        <w:rPr>
          <w:rFonts w:eastAsia="Arial" w:cs="Arial"/>
          <w:szCs w:val="20"/>
        </w:rPr>
        <w:t xml:space="preserve">En Costa Rica por octavo año consecutivo la empresa firmó la Declaración de San José, comprometiéndose a trabajar a favor de los Derechos Humanos de las personas LGTBIQ. </w:t>
      </w:r>
    </w:p>
    <w:p w14:paraId="43B95A2A" w14:textId="74CFDCF3" w:rsidR="007605E6" w:rsidRPr="00382A62" w:rsidRDefault="007277E8" w:rsidP="00E55F33">
      <w:pPr>
        <w:pStyle w:val="Prrafodelista"/>
        <w:numPr>
          <w:ilvl w:val="0"/>
          <w:numId w:val="45"/>
        </w:numPr>
        <w:rPr>
          <w:rFonts w:cs="Arial"/>
          <w:szCs w:val="20"/>
        </w:rPr>
      </w:pPr>
      <w:r w:rsidRPr="00382A62">
        <w:rPr>
          <w:rFonts w:eastAsia="Arial" w:cs="Arial"/>
          <w:szCs w:val="20"/>
        </w:rPr>
        <w:t xml:space="preserve">Guatemala se desarrolló el programa “Sin Límites” centrado en la inclusión de personas con discapacidad auditiva. Facilitó el proceso de reclutamiento incorporando elementos como lenguaje de señas y permitió la contratación de algunas personas con discapacidad auditiva en áreas como: comercial, producción y </w:t>
      </w:r>
      <w:r w:rsidRPr="00382A62">
        <w:rPr>
          <w:rFonts w:eastAsia="Arial" w:cs="Arial"/>
          <w:szCs w:val="20"/>
        </w:rPr>
        <w:lastRenderedPageBreak/>
        <w:t>bodegas. La iniciativa ha sensibilizado a la población sobre la integración de personas con diferentes capacidades y desarrollo de nuevas</w:t>
      </w:r>
      <w:r w:rsidR="00DF64F1" w:rsidRPr="00382A62">
        <w:rPr>
          <w:rFonts w:eastAsia="Arial" w:cs="Arial"/>
          <w:szCs w:val="20"/>
        </w:rPr>
        <w:t xml:space="preserve"> </w:t>
      </w:r>
      <w:r w:rsidRPr="00382A62">
        <w:rPr>
          <w:rFonts w:eastAsia="Arial" w:cs="Arial"/>
          <w:szCs w:val="20"/>
        </w:rPr>
        <w:t xml:space="preserve">formas de comunicación. </w:t>
      </w:r>
    </w:p>
    <w:p w14:paraId="747E2CAA" w14:textId="0C1FAA53" w:rsidR="00272B2C" w:rsidRPr="00382A62" w:rsidRDefault="00313F82" w:rsidP="00F378C8">
      <w:pPr>
        <w:pStyle w:val="Prrafodelista"/>
        <w:numPr>
          <w:ilvl w:val="0"/>
          <w:numId w:val="45"/>
        </w:numPr>
        <w:rPr>
          <w:rFonts w:cs="Arial"/>
          <w:szCs w:val="20"/>
        </w:rPr>
      </w:pPr>
      <w:r w:rsidRPr="00382A62">
        <w:rPr>
          <w:rFonts w:cs="Arial"/>
          <w:szCs w:val="20"/>
        </w:rPr>
        <w:t>En Estados Unidos, se impartieron talleres de “Inclusión Consciente” a gerentes y supervisores. A través de actividades interactivas y discusiones grupales, los participantes han profundizado su comprensión sobre los sesgos inconscientes, la importancia de la autoconciencia para eliminar prejuicios y el valor de promover un ambiente de trabajo acogedor e inclusivo</w:t>
      </w:r>
      <w:r w:rsidR="002A4725" w:rsidRPr="00382A62">
        <w:rPr>
          <w:rFonts w:cs="Arial"/>
          <w:szCs w:val="20"/>
        </w:rPr>
        <w:t>.</w:t>
      </w:r>
    </w:p>
    <w:p w14:paraId="7B38B15D" w14:textId="5FB3542C" w:rsidR="007605E6" w:rsidRPr="00382A62" w:rsidRDefault="00510809" w:rsidP="00510809">
      <w:pPr>
        <w:rPr>
          <w:rFonts w:eastAsiaTheme="majorEastAsia" w:cs="Arial"/>
          <w:szCs w:val="20"/>
        </w:rPr>
      </w:pPr>
      <w:r w:rsidRPr="00382A62">
        <w:rPr>
          <w:rFonts w:cs="Arial"/>
          <w:szCs w:val="20"/>
        </w:rPr>
        <w:t>La empresa está explorando nuevas formas de promover la diversidad y la inclusión en todas sus operaciones. Se mantiene el calendario de comunicación y celebración de fechas especiales que refuerzan mensajes alusivos a la inclusión y diversidad. Estas acciones subrayan el compromiso continuo de la empresa con la creación y mantenimiento de un entorno laboral seguro, inclusivo y diverso y la determinación de la empresa en avanzar hacia una cultura organizacional que promueva la diversidad en todas sus formas y niveles.</w:t>
      </w:r>
    </w:p>
    <w:p w14:paraId="48F941A2" w14:textId="77777777" w:rsidR="007605E6" w:rsidRPr="00382A62" w:rsidRDefault="007605E6" w:rsidP="00147CF2">
      <w:pPr>
        <w:pStyle w:val="Ttulo3"/>
        <w:numPr>
          <w:ilvl w:val="1"/>
          <w:numId w:val="27"/>
        </w:numPr>
        <w:rPr>
          <w:rFonts w:cs="Arial"/>
          <w:sz w:val="20"/>
          <w:szCs w:val="20"/>
        </w:rPr>
      </w:pPr>
      <w:bookmarkStart w:id="198" w:name="_Toc131092902"/>
      <w:bookmarkStart w:id="199" w:name="_Toc131501103"/>
      <w:bookmarkStart w:id="200" w:name="_Toc169624661"/>
      <w:r w:rsidRPr="00382A62">
        <w:rPr>
          <w:rFonts w:cs="Arial"/>
          <w:sz w:val="20"/>
          <w:szCs w:val="20"/>
        </w:rPr>
        <w:t>Alineamiento Organizacional</w:t>
      </w:r>
      <w:bookmarkEnd w:id="198"/>
      <w:bookmarkEnd w:id="199"/>
      <w:bookmarkEnd w:id="200"/>
    </w:p>
    <w:p w14:paraId="0926AD54" w14:textId="69AA112B" w:rsidR="003F51D4" w:rsidRPr="00382A62" w:rsidRDefault="003F51D4" w:rsidP="00AD63B8">
      <w:pPr>
        <w:rPr>
          <w:rFonts w:eastAsia="Arial" w:cs="Arial"/>
          <w:szCs w:val="20"/>
        </w:rPr>
      </w:pPr>
      <w:r w:rsidRPr="00382A62">
        <w:rPr>
          <w:rFonts w:eastAsia="Arial" w:cs="Arial"/>
          <w:szCs w:val="20"/>
        </w:rPr>
        <w:t>Durante el 2023, se trabajó en programas para asegurar una actualización constante de los conocimientos técnicos necesarios. Asimismo, se implementaron programas orientados a fortalecer capacidades transversales como el uso de analítica de datos, el liderazgo holístico, las habilidades digitales y la gestión del cambio.</w:t>
      </w:r>
    </w:p>
    <w:p w14:paraId="7848FC8B" w14:textId="2A8F51CE" w:rsidR="00AD63B8" w:rsidRPr="00382A62" w:rsidRDefault="003F51D4" w:rsidP="00AD63B8">
      <w:pPr>
        <w:rPr>
          <w:rFonts w:eastAsia="Arial" w:cs="Arial"/>
          <w:szCs w:val="20"/>
        </w:rPr>
      </w:pPr>
      <w:r w:rsidRPr="00382A62">
        <w:rPr>
          <w:rFonts w:eastAsia="Arial" w:cs="Arial"/>
          <w:szCs w:val="20"/>
        </w:rPr>
        <w:t>Potenciamos el aprendizaje digital,</w:t>
      </w:r>
      <w:r w:rsidR="00AD63B8" w:rsidRPr="00382A62">
        <w:rPr>
          <w:rFonts w:eastAsia="Arial" w:cs="Arial"/>
          <w:szCs w:val="20"/>
        </w:rPr>
        <w:t xml:space="preserve"> </w:t>
      </w:r>
      <w:r w:rsidRPr="00382A62">
        <w:rPr>
          <w:rFonts w:eastAsia="Arial" w:cs="Arial"/>
          <w:szCs w:val="20"/>
        </w:rPr>
        <w:t>mejorando la experiencia en</w:t>
      </w:r>
      <w:r w:rsidR="00AD63B8" w:rsidRPr="00382A62">
        <w:rPr>
          <w:rFonts w:eastAsia="Arial" w:cs="Arial"/>
          <w:szCs w:val="20"/>
        </w:rPr>
        <w:t xml:space="preserve"> </w:t>
      </w:r>
      <w:r w:rsidRPr="00382A62">
        <w:rPr>
          <w:rFonts w:eastAsia="Arial" w:cs="Arial"/>
          <w:szCs w:val="20"/>
        </w:rPr>
        <w:t>plataformas como UFIFCO</w:t>
      </w:r>
      <w:r w:rsidR="00AD63B8" w:rsidRPr="00382A62">
        <w:rPr>
          <w:rFonts w:eastAsia="Arial" w:cs="Arial"/>
          <w:szCs w:val="20"/>
        </w:rPr>
        <w:t xml:space="preserve"> </w:t>
      </w:r>
      <w:r w:rsidRPr="00382A62">
        <w:rPr>
          <w:rFonts w:eastAsia="Arial" w:cs="Arial"/>
          <w:szCs w:val="20"/>
        </w:rPr>
        <w:t xml:space="preserve">e incorporando </w:t>
      </w:r>
      <w:r w:rsidR="00AD63B8" w:rsidRPr="00382A62">
        <w:rPr>
          <w:rFonts w:eastAsia="Arial" w:cs="Arial"/>
          <w:szCs w:val="20"/>
        </w:rPr>
        <w:t xml:space="preserve">nuevos contenidos </w:t>
      </w:r>
      <w:r w:rsidRPr="00382A62">
        <w:rPr>
          <w:rFonts w:eastAsia="Arial" w:cs="Arial"/>
          <w:szCs w:val="20"/>
        </w:rPr>
        <w:t>que se complementan con programas</w:t>
      </w:r>
      <w:r w:rsidR="00AD63B8" w:rsidRPr="00382A62">
        <w:rPr>
          <w:rFonts w:eastAsia="Arial" w:cs="Arial"/>
          <w:szCs w:val="20"/>
        </w:rPr>
        <w:t xml:space="preserve"> </w:t>
      </w:r>
      <w:r w:rsidRPr="00382A62">
        <w:rPr>
          <w:rFonts w:eastAsia="Arial" w:cs="Arial"/>
          <w:szCs w:val="20"/>
        </w:rPr>
        <w:t>presenciales enfatizando en un enfoque</w:t>
      </w:r>
      <w:r w:rsidR="00AD63B8" w:rsidRPr="00382A62">
        <w:rPr>
          <w:rFonts w:eastAsia="Arial" w:cs="Arial"/>
          <w:szCs w:val="20"/>
        </w:rPr>
        <w:t xml:space="preserve"> </w:t>
      </w:r>
      <w:r w:rsidRPr="00382A62">
        <w:rPr>
          <w:rFonts w:eastAsia="Arial" w:cs="Arial"/>
          <w:szCs w:val="20"/>
        </w:rPr>
        <w:t>práctico.</w:t>
      </w:r>
      <w:r w:rsidR="00AD63B8" w:rsidRPr="00382A62">
        <w:rPr>
          <w:rFonts w:eastAsia="Arial" w:cs="Arial"/>
          <w:szCs w:val="20"/>
        </w:rPr>
        <w:t xml:space="preserve"> </w:t>
      </w:r>
    </w:p>
    <w:p w14:paraId="6368591C" w14:textId="77777777" w:rsidR="00AD63B8" w:rsidRPr="00382A62" w:rsidRDefault="003F51D4" w:rsidP="00AD63B8">
      <w:pPr>
        <w:rPr>
          <w:rFonts w:eastAsia="Arial" w:cs="Arial"/>
          <w:szCs w:val="20"/>
        </w:rPr>
      </w:pPr>
      <w:r w:rsidRPr="00382A62">
        <w:rPr>
          <w:rFonts w:eastAsia="Arial" w:cs="Arial"/>
          <w:szCs w:val="20"/>
        </w:rPr>
        <w:t>Se reforzaron elementos de la cultura</w:t>
      </w:r>
      <w:r w:rsidR="00AD63B8" w:rsidRPr="00382A62">
        <w:rPr>
          <w:rFonts w:eastAsia="Arial" w:cs="Arial"/>
          <w:szCs w:val="20"/>
        </w:rPr>
        <w:t xml:space="preserve"> </w:t>
      </w:r>
      <w:r w:rsidRPr="00382A62">
        <w:rPr>
          <w:rFonts w:eastAsia="Arial" w:cs="Arial"/>
          <w:szCs w:val="20"/>
        </w:rPr>
        <w:t>como el propósito de la organización,</w:t>
      </w:r>
      <w:r w:rsidR="00AD63B8" w:rsidRPr="00382A62">
        <w:rPr>
          <w:rFonts w:eastAsia="Arial" w:cs="Arial"/>
          <w:szCs w:val="20"/>
        </w:rPr>
        <w:t xml:space="preserve"> </w:t>
      </w:r>
      <w:r w:rsidRPr="00382A62">
        <w:rPr>
          <w:rFonts w:eastAsia="Arial" w:cs="Arial"/>
          <w:szCs w:val="20"/>
        </w:rPr>
        <w:t>los principios guía y el modelo de</w:t>
      </w:r>
      <w:r w:rsidR="00AD63B8" w:rsidRPr="00382A62">
        <w:rPr>
          <w:rFonts w:eastAsia="Arial" w:cs="Arial"/>
          <w:szCs w:val="20"/>
        </w:rPr>
        <w:t xml:space="preserve"> </w:t>
      </w:r>
      <w:r w:rsidRPr="00382A62">
        <w:rPr>
          <w:rFonts w:eastAsia="Arial" w:cs="Arial"/>
          <w:szCs w:val="20"/>
        </w:rPr>
        <w:t>liderazgo, elementos clave que definen</w:t>
      </w:r>
      <w:r w:rsidR="00AD63B8" w:rsidRPr="00382A62">
        <w:rPr>
          <w:rFonts w:eastAsia="Arial" w:cs="Arial"/>
          <w:szCs w:val="20"/>
        </w:rPr>
        <w:t xml:space="preserve"> </w:t>
      </w:r>
      <w:r w:rsidRPr="00382A62">
        <w:rPr>
          <w:rFonts w:eastAsia="Arial" w:cs="Arial"/>
          <w:szCs w:val="20"/>
        </w:rPr>
        <w:t>la identidad corporativa.</w:t>
      </w:r>
      <w:r w:rsidR="00AD63B8" w:rsidRPr="00382A62">
        <w:rPr>
          <w:rFonts w:eastAsia="Arial" w:cs="Arial"/>
          <w:szCs w:val="20"/>
        </w:rPr>
        <w:t xml:space="preserve"> </w:t>
      </w:r>
    </w:p>
    <w:p w14:paraId="55F9EB01" w14:textId="72A5F301" w:rsidR="007605E6" w:rsidRPr="00382A62" w:rsidRDefault="003F51D4" w:rsidP="00AD63B8">
      <w:pPr>
        <w:rPr>
          <w:rFonts w:eastAsia="Arial" w:cs="Arial"/>
          <w:szCs w:val="20"/>
        </w:rPr>
      </w:pPr>
      <w:r w:rsidRPr="00382A62">
        <w:rPr>
          <w:rFonts w:eastAsia="Arial" w:cs="Arial"/>
          <w:szCs w:val="20"/>
        </w:rPr>
        <w:t>Uno de los temas destacados durante el</w:t>
      </w:r>
      <w:r w:rsidR="00AD63B8" w:rsidRPr="00382A62">
        <w:rPr>
          <w:rFonts w:eastAsia="Arial" w:cs="Arial"/>
          <w:szCs w:val="20"/>
        </w:rPr>
        <w:t xml:space="preserve"> </w:t>
      </w:r>
      <w:r w:rsidRPr="00382A62">
        <w:rPr>
          <w:rFonts w:eastAsia="Arial" w:cs="Arial"/>
          <w:szCs w:val="20"/>
        </w:rPr>
        <w:t>periodo, fue el despliegue de la nueva</w:t>
      </w:r>
      <w:r w:rsidR="00AD63B8" w:rsidRPr="00382A62">
        <w:rPr>
          <w:rFonts w:eastAsia="Arial" w:cs="Arial"/>
          <w:szCs w:val="20"/>
        </w:rPr>
        <w:t xml:space="preserve"> </w:t>
      </w:r>
      <w:r w:rsidRPr="00382A62">
        <w:rPr>
          <w:rFonts w:eastAsia="Arial" w:cs="Arial"/>
          <w:szCs w:val="20"/>
        </w:rPr>
        <w:t>estrategia de FIFCO para los próximos</w:t>
      </w:r>
      <w:r w:rsidR="00AD63B8" w:rsidRPr="00382A62">
        <w:rPr>
          <w:rFonts w:eastAsia="Arial" w:cs="Arial"/>
          <w:szCs w:val="20"/>
        </w:rPr>
        <w:t xml:space="preserve"> </w:t>
      </w:r>
      <w:r w:rsidRPr="00382A62">
        <w:rPr>
          <w:rFonts w:eastAsia="Arial" w:cs="Arial"/>
          <w:szCs w:val="20"/>
        </w:rPr>
        <w:t>5 años. Mediante talleres participativos</w:t>
      </w:r>
      <w:r w:rsidR="00AD63B8" w:rsidRPr="00382A62">
        <w:rPr>
          <w:rFonts w:eastAsia="Arial" w:cs="Arial"/>
          <w:szCs w:val="20"/>
        </w:rPr>
        <w:t xml:space="preserve"> </w:t>
      </w:r>
      <w:r w:rsidRPr="00382A62">
        <w:rPr>
          <w:rFonts w:eastAsia="Arial" w:cs="Arial"/>
          <w:szCs w:val="20"/>
        </w:rPr>
        <w:t>se compartió con líderes y mandos</w:t>
      </w:r>
      <w:r w:rsidR="00AD63B8" w:rsidRPr="00382A62">
        <w:rPr>
          <w:rFonts w:eastAsia="Arial" w:cs="Arial"/>
          <w:szCs w:val="20"/>
        </w:rPr>
        <w:t xml:space="preserve"> </w:t>
      </w:r>
      <w:r w:rsidRPr="00382A62">
        <w:rPr>
          <w:rFonts w:eastAsia="Arial" w:cs="Arial"/>
          <w:szCs w:val="20"/>
        </w:rPr>
        <w:t>medios la nueva visión y los elementos</w:t>
      </w:r>
      <w:r w:rsidR="00AD63B8" w:rsidRPr="00382A62">
        <w:rPr>
          <w:rFonts w:eastAsia="Arial" w:cs="Arial"/>
          <w:szCs w:val="20"/>
        </w:rPr>
        <w:t xml:space="preserve"> </w:t>
      </w:r>
      <w:r w:rsidRPr="00382A62">
        <w:rPr>
          <w:rFonts w:eastAsia="Arial" w:cs="Arial"/>
          <w:szCs w:val="20"/>
        </w:rPr>
        <w:t>claves que la organización enfatizará</w:t>
      </w:r>
      <w:r w:rsidR="00AD63B8" w:rsidRPr="00382A62">
        <w:rPr>
          <w:rFonts w:eastAsia="Arial" w:cs="Arial"/>
          <w:szCs w:val="20"/>
        </w:rPr>
        <w:t xml:space="preserve"> </w:t>
      </w:r>
      <w:r w:rsidRPr="00382A62">
        <w:rPr>
          <w:rFonts w:eastAsia="Arial" w:cs="Arial"/>
          <w:szCs w:val="20"/>
        </w:rPr>
        <w:t>durante los próximos años. Los espacios</w:t>
      </w:r>
      <w:r w:rsidR="00AD63B8" w:rsidRPr="00382A62">
        <w:rPr>
          <w:rFonts w:eastAsia="Arial" w:cs="Arial"/>
          <w:szCs w:val="20"/>
        </w:rPr>
        <w:t xml:space="preserve"> </w:t>
      </w:r>
      <w:r w:rsidRPr="00382A62">
        <w:rPr>
          <w:rFonts w:eastAsia="Arial" w:cs="Arial"/>
          <w:szCs w:val="20"/>
        </w:rPr>
        <w:t>inspiraron y profundizaron en la</w:t>
      </w:r>
      <w:r w:rsidR="00AD63B8" w:rsidRPr="00382A62">
        <w:rPr>
          <w:rFonts w:eastAsia="Arial" w:cs="Arial"/>
          <w:szCs w:val="20"/>
        </w:rPr>
        <w:t xml:space="preserve"> </w:t>
      </w:r>
      <w:r w:rsidRPr="00382A62">
        <w:rPr>
          <w:rFonts w:eastAsia="Arial" w:cs="Arial"/>
          <w:szCs w:val="20"/>
        </w:rPr>
        <w:t>dirección de la empresa a través de un</w:t>
      </w:r>
      <w:r w:rsidR="00AD63B8" w:rsidRPr="00382A62">
        <w:rPr>
          <w:rFonts w:eastAsia="Arial" w:cs="Arial"/>
          <w:szCs w:val="20"/>
        </w:rPr>
        <w:t xml:space="preserve"> </w:t>
      </w:r>
      <w:r w:rsidRPr="00382A62">
        <w:rPr>
          <w:rFonts w:eastAsia="Arial" w:cs="Arial"/>
          <w:szCs w:val="20"/>
        </w:rPr>
        <w:t>diálogo abierto y participativo enfocado</w:t>
      </w:r>
      <w:r w:rsidR="00AD63B8" w:rsidRPr="00382A62">
        <w:rPr>
          <w:rFonts w:eastAsia="Arial" w:cs="Arial"/>
          <w:szCs w:val="20"/>
        </w:rPr>
        <w:t xml:space="preserve"> </w:t>
      </w:r>
      <w:r w:rsidRPr="00382A62">
        <w:rPr>
          <w:rFonts w:eastAsia="Arial" w:cs="Arial"/>
          <w:szCs w:val="20"/>
        </w:rPr>
        <w:t>en los elementos que potenciarán el</w:t>
      </w:r>
      <w:r w:rsidR="00AD63B8" w:rsidRPr="00382A62">
        <w:rPr>
          <w:rFonts w:eastAsia="Arial" w:cs="Arial"/>
          <w:szCs w:val="20"/>
        </w:rPr>
        <w:t xml:space="preserve"> </w:t>
      </w:r>
      <w:r w:rsidRPr="00382A62">
        <w:rPr>
          <w:rFonts w:eastAsia="Arial" w:cs="Arial"/>
          <w:szCs w:val="20"/>
        </w:rPr>
        <w:t>crecimiento de FIFCO.</w:t>
      </w:r>
    </w:p>
    <w:p w14:paraId="6FB95D54" w14:textId="77777777" w:rsidR="007605E6" w:rsidRPr="00382A62" w:rsidRDefault="007605E6" w:rsidP="00147CF2">
      <w:pPr>
        <w:pStyle w:val="Ttulo3"/>
        <w:numPr>
          <w:ilvl w:val="1"/>
          <w:numId w:val="27"/>
        </w:numPr>
        <w:rPr>
          <w:rFonts w:cs="Arial"/>
          <w:sz w:val="20"/>
          <w:szCs w:val="20"/>
        </w:rPr>
      </w:pPr>
      <w:bookmarkStart w:id="201" w:name="_Toc131092903"/>
      <w:bookmarkStart w:id="202" w:name="_Toc131501104"/>
      <w:bookmarkStart w:id="203" w:name="_Toc169624662"/>
      <w:r w:rsidRPr="00382A62">
        <w:rPr>
          <w:rFonts w:cs="Arial"/>
          <w:sz w:val="20"/>
          <w:szCs w:val="20"/>
        </w:rPr>
        <w:t>Teletrabajo y trabajo híbrido</w:t>
      </w:r>
      <w:bookmarkEnd w:id="201"/>
      <w:bookmarkEnd w:id="202"/>
      <w:bookmarkEnd w:id="203"/>
    </w:p>
    <w:p w14:paraId="353E42CC" w14:textId="77777777" w:rsidR="007605E6" w:rsidRPr="00382A62" w:rsidRDefault="007605E6" w:rsidP="007605E6">
      <w:pPr>
        <w:rPr>
          <w:rFonts w:eastAsia="Arial" w:cs="Arial"/>
          <w:szCs w:val="20"/>
        </w:rPr>
      </w:pPr>
      <w:r w:rsidRPr="00382A62">
        <w:rPr>
          <w:rFonts w:eastAsiaTheme="minorEastAsia" w:cs="Arial"/>
          <w:szCs w:val="20"/>
        </w:rPr>
        <w:t>Aprovechando las bondades de la tecnología y los aprendizajes obtenidos después del periodo de pandemia, FIFCO oficializó el modelo de trabajo híbrido que permite aprovechar las ventajas de la virtualidad y asegurar el aprovechamiento al máximo de la presencialidad.</w:t>
      </w:r>
    </w:p>
    <w:p w14:paraId="30955983" w14:textId="77777777" w:rsidR="007605E6" w:rsidRPr="00382A62" w:rsidRDefault="007605E6" w:rsidP="007605E6">
      <w:pPr>
        <w:rPr>
          <w:rFonts w:eastAsia="Arial" w:cs="Arial"/>
          <w:szCs w:val="20"/>
        </w:rPr>
      </w:pPr>
      <w:r w:rsidRPr="00382A62">
        <w:rPr>
          <w:rFonts w:eastAsiaTheme="minorEastAsia" w:cs="Arial"/>
          <w:szCs w:val="20"/>
        </w:rPr>
        <w:t>El modelo considera el teletrabajo como la modalidad principal para los roles en que sea posible. Además, se promueve que las personas y los equipos tengan interacciones presenciales con una intención. Para este fin se definieron las 5C’s o las 5 razones por las cuales es importante reunirse presencialmente.</w:t>
      </w:r>
    </w:p>
    <w:p w14:paraId="6C97C26A" w14:textId="43BB05AB" w:rsidR="007605E6" w:rsidRPr="00382A62" w:rsidRDefault="007605E6" w:rsidP="007605E6">
      <w:pPr>
        <w:rPr>
          <w:rFonts w:eastAsiaTheme="minorEastAsia" w:cs="Arial"/>
          <w:szCs w:val="20"/>
        </w:rPr>
      </w:pPr>
      <w:r w:rsidRPr="00382A62">
        <w:rPr>
          <w:rFonts w:eastAsiaTheme="minorEastAsia" w:cs="Arial"/>
          <w:szCs w:val="20"/>
        </w:rPr>
        <w:t xml:space="preserve">Con el fin de fortalecer los espacios de conexión, se implementaron espacios de integración de equipos en Costa Rica. En Guatemala se implementaron “cafés virtuales” para fomentar la conexión y sintonía entre los equipos, </w:t>
      </w:r>
      <w:r w:rsidRPr="00382A62">
        <w:rPr>
          <w:rFonts w:eastAsiaTheme="minorEastAsia" w:cs="Arial"/>
          <w:szCs w:val="20"/>
        </w:rPr>
        <w:lastRenderedPageBreak/>
        <w:t>además se generó una alianza con un co-work externo con opciones de salas de reuniones y espacios de capacitación exclusivos para el personal.</w:t>
      </w:r>
    </w:p>
    <w:p w14:paraId="150A55D2" w14:textId="77777777" w:rsidR="007605E6" w:rsidRPr="00382A62" w:rsidRDefault="007605E6" w:rsidP="00147CF2">
      <w:pPr>
        <w:pStyle w:val="Ttulo3"/>
        <w:numPr>
          <w:ilvl w:val="1"/>
          <w:numId w:val="27"/>
        </w:numPr>
        <w:rPr>
          <w:rFonts w:cs="Arial"/>
          <w:sz w:val="20"/>
          <w:szCs w:val="20"/>
        </w:rPr>
      </w:pPr>
      <w:bookmarkStart w:id="204" w:name="_Toc131092904"/>
      <w:bookmarkStart w:id="205" w:name="_Toc131501105"/>
      <w:bookmarkStart w:id="206" w:name="_Toc169624663"/>
      <w:r w:rsidRPr="00382A62">
        <w:rPr>
          <w:rFonts w:cs="Arial"/>
          <w:sz w:val="20"/>
          <w:szCs w:val="20"/>
        </w:rPr>
        <w:t>Gestión del Talento</w:t>
      </w:r>
      <w:bookmarkEnd w:id="204"/>
      <w:bookmarkEnd w:id="205"/>
      <w:bookmarkEnd w:id="206"/>
    </w:p>
    <w:p w14:paraId="488B0FC3" w14:textId="74BEBF91" w:rsidR="007605E6" w:rsidRPr="00382A62" w:rsidRDefault="007605E6" w:rsidP="007605E6">
      <w:pPr>
        <w:rPr>
          <w:rFonts w:cs="Arial"/>
          <w:szCs w:val="20"/>
        </w:rPr>
      </w:pPr>
      <w:r w:rsidRPr="00382A62">
        <w:rPr>
          <w:rFonts w:cs="Arial"/>
          <w:szCs w:val="20"/>
        </w:rPr>
        <w:t>En el 202</w:t>
      </w:r>
      <w:r w:rsidR="00D36319" w:rsidRPr="00382A62">
        <w:rPr>
          <w:rFonts w:cs="Arial"/>
          <w:szCs w:val="20"/>
        </w:rPr>
        <w:t>3</w:t>
      </w:r>
      <w:r w:rsidRPr="00382A62">
        <w:rPr>
          <w:rFonts w:cs="Arial"/>
          <w:szCs w:val="20"/>
        </w:rPr>
        <w:t xml:space="preserve"> se obtuvieron los siguientes logros: </w:t>
      </w:r>
    </w:p>
    <w:p w14:paraId="19E887B4" w14:textId="2ADF9EA2" w:rsidR="007605E6" w:rsidRPr="00382A62" w:rsidRDefault="00CD019A" w:rsidP="00DB19F5">
      <w:pPr>
        <w:pStyle w:val="Prrafodelista"/>
        <w:numPr>
          <w:ilvl w:val="0"/>
          <w:numId w:val="35"/>
        </w:numPr>
        <w:rPr>
          <w:rFonts w:cs="Arial"/>
          <w:szCs w:val="20"/>
        </w:rPr>
      </w:pPr>
      <w:r w:rsidRPr="00382A62">
        <w:rPr>
          <w:rFonts w:eastAsia="Arial" w:cs="Arial"/>
          <w:szCs w:val="20"/>
        </w:rPr>
        <w:t>Se continúan reforzando las habilidades en la organización para integrar la gestión del cambio en los diferentes proyectos e iniciativas. Esto garantiza que las capacidades necesarias estén presentes en todos los niveles, desde la concepción hasta la implementación de proyectos, y se le dé vida a través de los mismos miembros de cada equipo</w:t>
      </w:r>
      <w:r w:rsidR="007605E6" w:rsidRPr="00382A62">
        <w:rPr>
          <w:rFonts w:eastAsia="Arial" w:cs="Arial"/>
          <w:szCs w:val="20"/>
        </w:rPr>
        <w:t>.</w:t>
      </w:r>
    </w:p>
    <w:p w14:paraId="7022DC91" w14:textId="420A21F6" w:rsidR="00BD6B13" w:rsidRPr="00382A62" w:rsidRDefault="00BD6B13" w:rsidP="00646ACB">
      <w:pPr>
        <w:pStyle w:val="Prrafodelista"/>
        <w:numPr>
          <w:ilvl w:val="0"/>
          <w:numId w:val="35"/>
        </w:numPr>
        <w:rPr>
          <w:rFonts w:eastAsia="Arial" w:cs="Arial"/>
          <w:szCs w:val="20"/>
        </w:rPr>
      </w:pPr>
      <w:r w:rsidRPr="00382A62">
        <w:rPr>
          <w:rFonts w:eastAsia="Arial" w:cs="Arial"/>
          <w:szCs w:val="20"/>
        </w:rPr>
        <w:t>se lanzó un curso virtual sobre la metodología de cambio de FIFCO. Este se reforzó a través de diferentes iniciativas prácticas. Por ejemplo, en Guatemala se completó un programa Agentes Delta, donde un grupo de colaboradores de diferentes</w:t>
      </w:r>
      <w:r w:rsidR="008343B7" w:rsidRPr="00382A62">
        <w:rPr>
          <w:rFonts w:eastAsia="Arial" w:cs="Arial"/>
          <w:szCs w:val="20"/>
        </w:rPr>
        <w:t xml:space="preserve"> </w:t>
      </w:r>
      <w:r w:rsidRPr="00382A62">
        <w:rPr>
          <w:rFonts w:eastAsia="Arial" w:cs="Arial"/>
          <w:szCs w:val="20"/>
        </w:rPr>
        <w:t>áreas aprendieron la metodología que</w:t>
      </w:r>
      <w:r w:rsidR="008343B7" w:rsidRPr="00382A62">
        <w:rPr>
          <w:rFonts w:eastAsia="Arial" w:cs="Arial"/>
          <w:szCs w:val="20"/>
        </w:rPr>
        <w:t xml:space="preserve"> </w:t>
      </w:r>
      <w:r w:rsidRPr="00382A62">
        <w:rPr>
          <w:rFonts w:eastAsia="Arial" w:cs="Arial"/>
          <w:szCs w:val="20"/>
        </w:rPr>
        <w:t>aplicaron a 18 proyectos distintos</w:t>
      </w:r>
      <w:r w:rsidR="007F41AE" w:rsidRPr="00382A62">
        <w:rPr>
          <w:rFonts w:eastAsia="Arial" w:cs="Arial"/>
          <w:szCs w:val="20"/>
        </w:rPr>
        <w:t xml:space="preserve"> </w:t>
      </w:r>
      <w:r w:rsidRPr="00382A62">
        <w:rPr>
          <w:rFonts w:eastAsia="Arial" w:cs="Arial"/>
          <w:szCs w:val="20"/>
        </w:rPr>
        <w:t xml:space="preserve">diferentes áreas como canal </w:t>
      </w:r>
      <w:r w:rsidR="009C7016" w:rsidRPr="00382A62">
        <w:rPr>
          <w:rFonts w:eastAsia="Arial" w:cs="Arial"/>
          <w:szCs w:val="20"/>
        </w:rPr>
        <w:t>abierto,</w:t>
      </w:r>
      <w:r w:rsidR="009C7016" w:rsidRPr="00382A62">
        <w:rPr>
          <w:rFonts w:eastAsia="Arial" w:cs="Arial"/>
          <w:szCs w:val="20"/>
          <w:lang w:val="es-419"/>
        </w:rPr>
        <w:t xml:space="preserve"> info</w:t>
      </w:r>
      <w:r w:rsidRPr="00382A62">
        <w:rPr>
          <w:rFonts w:eastAsia="Arial" w:cs="Arial"/>
          <w:szCs w:val="20"/>
          <w:lang w:val="es-419"/>
        </w:rPr>
        <w:t xml:space="preserve"> comercial, talento, trade marketing,</w:t>
      </w:r>
      <w:r w:rsidRPr="00382A62">
        <w:rPr>
          <w:rFonts w:eastAsia="Arial" w:cs="Arial"/>
          <w:szCs w:val="20"/>
        </w:rPr>
        <w:t>crédito y manufactura.</w:t>
      </w:r>
    </w:p>
    <w:p w14:paraId="0A10F53E" w14:textId="29CB1594" w:rsidR="00BD6B13" w:rsidRPr="00382A62" w:rsidRDefault="00BD6B13" w:rsidP="000C66D1">
      <w:pPr>
        <w:pStyle w:val="Prrafodelista"/>
        <w:numPr>
          <w:ilvl w:val="0"/>
          <w:numId w:val="35"/>
        </w:numPr>
        <w:rPr>
          <w:rFonts w:eastAsia="Arial" w:cs="Arial"/>
          <w:szCs w:val="20"/>
        </w:rPr>
      </w:pPr>
      <w:r w:rsidRPr="00382A62">
        <w:rPr>
          <w:rFonts w:eastAsia="Arial" w:cs="Arial"/>
          <w:szCs w:val="20"/>
        </w:rPr>
        <w:t>En Costa Rica se impartió un taller</w:t>
      </w:r>
      <w:r w:rsidR="007F41AE" w:rsidRPr="00382A62">
        <w:rPr>
          <w:rFonts w:eastAsia="Arial" w:cs="Arial"/>
          <w:szCs w:val="20"/>
        </w:rPr>
        <w:t xml:space="preserve"> </w:t>
      </w:r>
      <w:r w:rsidRPr="00382A62">
        <w:rPr>
          <w:rFonts w:eastAsia="Arial" w:cs="Arial"/>
          <w:szCs w:val="20"/>
        </w:rPr>
        <w:t>práctico dirigido a personas de</w:t>
      </w:r>
      <w:r w:rsidR="007F41AE" w:rsidRPr="00382A62">
        <w:rPr>
          <w:rFonts w:eastAsia="Arial" w:cs="Arial"/>
          <w:szCs w:val="20"/>
        </w:rPr>
        <w:t xml:space="preserve"> </w:t>
      </w:r>
      <w:r w:rsidRPr="00382A62">
        <w:rPr>
          <w:rFonts w:eastAsia="Arial" w:cs="Arial"/>
          <w:szCs w:val="20"/>
        </w:rPr>
        <w:t>diferentes áreas en el cual a partir de</w:t>
      </w:r>
      <w:r w:rsidR="007F41AE" w:rsidRPr="00382A62">
        <w:rPr>
          <w:rFonts w:eastAsia="Arial" w:cs="Arial"/>
          <w:szCs w:val="20"/>
        </w:rPr>
        <w:t xml:space="preserve"> </w:t>
      </w:r>
      <w:r w:rsidRPr="00382A62">
        <w:rPr>
          <w:rFonts w:eastAsia="Arial" w:cs="Arial"/>
          <w:szCs w:val="20"/>
        </w:rPr>
        <w:t>casos se diseñaron planes de cambio</w:t>
      </w:r>
      <w:r w:rsidR="007F41AE" w:rsidRPr="00382A62">
        <w:rPr>
          <w:rFonts w:eastAsia="Arial" w:cs="Arial"/>
          <w:szCs w:val="20"/>
        </w:rPr>
        <w:t xml:space="preserve"> </w:t>
      </w:r>
      <w:r w:rsidRPr="00382A62">
        <w:rPr>
          <w:rFonts w:eastAsia="Arial" w:cs="Arial"/>
          <w:szCs w:val="20"/>
        </w:rPr>
        <w:t>para proyectos, especialmente de las</w:t>
      </w:r>
      <w:r w:rsidR="007F41AE" w:rsidRPr="00382A62">
        <w:rPr>
          <w:rFonts w:eastAsia="Arial" w:cs="Arial"/>
          <w:szCs w:val="20"/>
        </w:rPr>
        <w:t xml:space="preserve"> </w:t>
      </w:r>
      <w:r w:rsidRPr="00382A62">
        <w:rPr>
          <w:rFonts w:eastAsia="Arial" w:cs="Arial"/>
          <w:szCs w:val="20"/>
        </w:rPr>
        <w:t>áreas de manufactura y comercial.</w:t>
      </w:r>
    </w:p>
    <w:p w14:paraId="08AAD265" w14:textId="264132F6" w:rsidR="007605E6" w:rsidRPr="00382A62" w:rsidRDefault="00BD6B13" w:rsidP="0024191E">
      <w:pPr>
        <w:pStyle w:val="Prrafodelista"/>
        <w:numPr>
          <w:ilvl w:val="0"/>
          <w:numId w:val="35"/>
        </w:numPr>
        <w:rPr>
          <w:rFonts w:eastAsia="Arial" w:cs="Arial"/>
          <w:szCs w:val="20"/>
        </w:rPr>
      </w:pPr>
      <w:r w:rsidRPr="00382A62">
        <w:rPr>
          <w:rFonts w:eastAsia="Arial" w:cs="Arial"/>
          <w:szCs w:val="20"/>
        </w:rPr>
        <w:t>Además, en proyectos de</w:t>
      </w:r>
      <w:r w:rsidR="00571D44" w:rsidRPr="00382A62">
        <w:rPr>
          <w:rFonts w:eastAsia="Arial" w:cs="Arial"/>
          <w:szCs w:val="20"/>
        </w:rPr>
        <w:t xml:space="preserve"> </w:t>
      </w:r>
      <w:r w:rsidRPr="00382A62">
        <w:rPr>
          <w:rFonts w:eastAsia="Arial" w:cs="Arial"/>
          <w:szCs w:val="20"/>
        </w:rPr>
        <w:t>transformación se aplica la metodología</w:t>
      </w:r>
      <w:r w:rsidR="00571D44" w:rsidRPr="00382A62">
        <w:rPr>
          <w:rFonts w:eastAsia="Arial" w:cs="Arial"/>
          <w:szCs w:val="20"/>
        </w:rPr>
        <w:t xml:space="preserve"> </w:t>
      </w:r>
      <w:r w:rsidRPr="00382A62">
        <w:rPr>
          <w:rFonts w:eastAsia="Arial" w:cs="Arial"/>
          <w:szCs w:val="20"/>
        </w:rPr>
        <w:t>y herramientas para garantizar una</w:t>
      </w:r>
      <w:r w:rsidR="00571D44" w:rsidRPr="00382A62">
        <w:rPr>
          <w:rFonts w:eastAsia="Arial" w:cs="Arial"/>
          <w:szCs w:val="20"/>
        </w:rPr>
        <w:t xml:space="preserve"> </w:t>
      </w:r>
      <w:r w:rsidRPr="00382A62">
        <w:rPr>
          <w:rFonts w:eastAsia="Arial" w:cs="Arial"/>
          <w:szCs w:val="20"/>
        </w:rPr>
        <w:t>adopción exitosa y positiva para las</w:t>
      </w:r>
      <w:r w:rsidR="00571D44" w:rsidRPr="00382A62">
        <w:rPr>
          <w:rFonts w:eastAsia="Arial" w:cs="Arial"/>
          <w:szCs w:val="20"/>
        </w:rPr>
        <w:t xml:space="preserve"> </w:t>
      </w:r>
      <w:r w:rsidRPr="00382A62">
        <w:rPr>
          <w:rFonts w:eastAsia="Arial" w:cs="Arial"/>
          <w:szCs w:val="20"/>
        </w:rPr>
        <w:t>personas, especialmente en proyectos</w:t>
      </w:r>
      <w:r w:rsidR="00571D44" w:rsidRPr="00382A62">
        <w:rPr>
          <w:rFonts w:eastAsia="Arial" w:cs="Arial"/>
          <w:szCs w:val="20"/>
        </w:rPr>
        <w:t xml:space="preserve"> </w:t>
      </w:r>
      <w:r w:rsidRPr="00382A62">
        <w:rPr>
          <w:rFonts w:eastAsia="Arial" w:cs="Arial"/>
          <w:szCs w:val="20"/>
        </w:rPr>
        <w:t>tecnológicos y otros cruciales para la</w:t>
      </w:r>
      <w:r w:rsidR="00571D44" w:rsidRPr="00382A62">
        <w:rPr>
          <w:rFonts w:eastAsia="Arial" w:cs="Arial"/>
          <w:szCs w:val="20"/>
        </w:rPr>
        <w:t xml:space="preserve"> </w:t>
      </w:r>
      <w:r w:rsidRPr="00382A62">
        <w:rPr>
          <w:rFonts w:eastAsia="Arial" w:cs="Arial"/>
          <w:szCs w:val="20"/>
        </w:rPr>
        <w:t>transformación de la</w:t>
      </w:r>
      <w:r w:rsidR="00A526C3" w:rsidRPr="00382A62">
        <w:rPr>
          <w:rFonts w:eastAsia="Arial" w:cs="Arial"/>
          <w:szCs w:val="20"/>
        </w:rPr>
        <w:t xml:space="preserve"> empresa.</w:t>
      </w:r>
    </w:p>
    <w:p w14:paraId="3E5834D6" w14:textId="77777777" w:rsidR="00A526C3" w:rsidRPr="00382A62" w:rsidRDefault="00A526C3" w:rsidP="00A526C3">
      <w:pPr>
        <w:pStyle w:val="Prrafodelista"/>
        <w:rPr>
          <w:rFonts w:cs="Arial"/>
          <w:szCs w:val="20"/>
        </w:rPr>
      </w:pPr>
    </w:p>
    <w:p w14:paraId="58EFC564" w14:textId="49738397" w:rsidR="00A526C3" w:rsidRPr="00382A62" w:rsidRDefault="00A526C3" w:rsidP="00585663">
      <w:pPr>
        <w:pStyle w:val="Descripcin"/>
        <w:rPr>
          <w:rFonts w:cs="Arial"/>
          <w:szCs w:val="20"/>
        </w:rPr>
      </w:pPr>
      <w:bookmarkStart w:id="207" w:name="_Toc169624742"/>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Pr="00382A62">
        <w:rPr>
          <w:rFonts w:cs="Arial"/>
          <w:szCs w:val="20"/>
        </w:rPr>
        <w:t>46</w:t>
      </w:r>
      <w:r w:rsidRPr="00382A62">
        <w:rPr>
          <w:rFonts w:cs="Arial"/>
          <w:szCs w:val="20"/>
        </w:rPr>
        <w:fldChar w:fldCharType="end"/>
      </w:r>
      <w:r w:rsidRPr="00382A62">
        <w:rPr>
          <w:rFonts w:cs="Arial"/>
          <w:szCs w:val="20"/>
        </w:rPr>
        <w:t xml:space="preserve"> - </w:t>
      </w:r>
      <w:r w:rsidR="00585663" w:rsidRPr="00382A62">
        <w:rPr>
          <w:rFonts w:cs="Arial"/>
          <w:szCs w:val="20"/>
        </w:rPr>
        <w:t>Horas de capacitación impartidas</w:t>
      </w:r>
      <w:bookmarkEnd w:id="207"/>
      <w:r w:rsidR="00585663" w:rsidRPr="00382A62">
        <w:rPr>
          <w:rFonts w:cs="Arial"/>
          <w:szCs w:val="20"/>
        </w:rPr>
        <w:t xml:space="preserve"> </w:t>
      </w:r>
    </w:p>
    <w:tbl>
      <w:tblPr>
        <w:tblStyle w:val="Tablaconcuadrculaclara"/>
        <w:tblW w:w="5480" w:type="dxa"/>
        <w:jc w:val="center"/>
        <w:tblLook w:val="04A0" w:firstRow="1" w:lastRow="0" w:firstColumn="1" w:lastColumn="0" w:noHBand="0" w:noVBand="1"/>
      </w:tblPr>
      <w:tblGrid>
        <w:gridCol w:w="1880"/>
        <w:gridCol w:w="1200"/>
        <w:gridCol w:w="1200"/>
        <w:gridCol w:w="1200"/>
      </w:tblGrid>
      <w:tr w:rsidR="00F70ED9" w:rsidRPr="007E5EAD" w14:paraId="0E69BABC" w14:textId="77777777" w:rsidTr="002D739C">
        <w:trPr>
          <w:trHeight w:val="290"/>
          <w:jc w:val="center"/>
        </w:trPr>
        <w:tc>
          <w:tcPr>
            <w:tcW w:w="1880" w:type="dxa"/>
            <w:shd w:val="pct5" w:color="auto" w:fill="auto"/>
            <w:noWrap/>
            <w:hideMark/>
          </w:tcPr>
          <w:p w14:paraId="36FDB3F0" w14:textId="77777777" w:rsidR="00F70ED9" w:rsidRPr="007E5EAD" w:rsidRDefault="00F70ED9" w:rsidP="00033121">
            <w:pPr>
              <w:spacing w:after="160"/>
              <w:rPr>
                <w:rFonts w:cs="Arial"/>
                <w:b/>
                <w:bCs/>
                <w:color w:val="000000"/>
                <w:szCs w:val="20"/>
              </w:rPr>
            </w:pPr>
            <w:r w:rsidRPr="007E5EAD">
              <w:rPr>
                <w:rFonts w:cs="Arial"/>
                <w:b/>
                <w:bCs/>
                <w:color w:val="000000"/>
                <w:szCs w:val="20"/>
              </w:rPr>
              <w:t xml:space="preserve">Nivel </w:t>
            </w:r>
          </w:p>
        </w:tc>
        <w:tc>
          <w:tcPr>
            <w:tcW w:w="1200" w:type="dxa"/>
            <w:shd w:val="pct5" w:color="auto" w:fill="auto"/>
            <w:noWrap/>
            <w:hideMark/>
          </w:tcPr>
          <w:p w14:paraId="4333AA30" w14:textId="77777777" w:rsidR="00F70ED9" w:rsidRPr="007E5EAD" w:rsidRDefault="00F70ED9" w:rsidP="00033121">
            <w:pPr>
              <w:spacing w:after="160"/>
              <w:rPr>
                <w:rFonts w:cs="Arial"/>
                <w:b/>
                <w:bCs/>
                <w:color w:val="000000"/>
                <w:szCs w:val="20"/>
              </w:rPr>
            </w:pPr>
            <w:r w:rsidRPr="007E5EAD">
              <w:rPr>
                <w:rFonts w:cs="Arial"/>
                <w:b/>
                <w:bCs/>
                <w:color w:val="000000"/>
                <w:szCs w:val="20"/>
              </w:rPr>
              <w:t>2021</w:t>
            </w:r>
          </w:p>
        </w:tc>
        <w:tc>
          <w:tcPr>
            <w:tcW w:w="1200" w:type="dxa"/>
            <w:shd w:val="pct5" w:color="auto" w:fill="auto"/>
            <w:noWrap/>
            <w:hideMark/>
          </w:tcPr>
          <w:p w14:paraId="3014CD34" w14:textId="77777777" w:rsidR="00F70ED9" w:rsidRPr="007E5EAD" w:rsidRDefault="00F70ED9" w:rsidP="00033121">
            <w:pPr>
              <w:spacing w:after="160"/>
              <w:rPr>
                <w:rFonts w:cs="Arial"/>
                <w:b/>
                <w:bCs/>
                <w:color w:val="000000"/>
                <w:szCs w:val="20"/>
              </w:rPr>
            </w:pPr>
            <w:r w:rsidRPr="007E5EAD">
              <w:rPr>
                <w:rFonts w:cs="Arial"/>
                <w:b/>
                <w:bCs/>
                <w:color w:val="000000"/>
                <w:szCs w:val="20"/>
              </w:rPr>
              <w:t>2022</w:t>
            </w:r>
          </w:p>
        </w:tc>
        <w:tc>
          <w:tcPr>
            <w:tcW w:w="1200" w:type="dxa"/>
            <w:shd w:val="pct5" w:color="auto" w:fill="auto"/>
            <w:noWrap/>
            <w:hideMark/>
          </w:tcPr>
          <w:p w14:paraId="29110E99" w14:textId="77777777" w:rsidR="00F70ED9" w:rsidRPr="007E5EAD" w:rsidRDefault="00F70ED9" w:rsidP="00033121">
            <w:pPr>
              <w:spacing w:after="160"/>
              <w:rPr>
                <w:rFonts w:cs="Arial"/>
                <w:b/>
                <w:bCs/>
                <w:color w:val="000000"/>
                <w:szCs w:val="20"/>
              </w:rPr>
            </w:pPr>
            <w:r w:rsidRPr="007E5EAD">
              <w:rPr>
                <w:rFonts w:cs="Arial"/>
                <w:b/>
                <w:bCs/>
                <w:color w:val="000000"/>
                <w:szCs w:val="20"/>
              </w:rPr>
              <w:t>2023</w:t>
            </w:r>
          </w:p>
        </w:tc>
      </w:tr>
      <w:tr w:rsidR="00F70ED9" w:rsidRPr="007E5EAD" w14:paraId="16A5E048" w14:textId="77777777" w:rsidTr="00622AB9">
        <w:trPr>
          <w:trHeight w:val="290"/>
          <w:jc w:val="center"/>
        </w:trPr>
        <w:tc>
          <w:tcPr>
            <w:tcW w:w="1880" w:type="dxa"/>
            <w:noWrap/>
            <w:hideMark/>
          </w:tcPr>
          <w:p w14:paraId="092D65CA" w14:textId="77777777" w:rsidR="00F70ED9" w:rsidRPr="007E5EAD" w:rsidRDefault="00F70ED9" w:rsidP="00033121">
            <w:pPr>
              <w:spacing w:after="160"/>
              <w:rPr>
                <w:rFonts w:cs="Arial"/>
                <w:b/>
                <w:bCs/>
                <w:color w:val="000000"/>
                <w:szCs w:val="20"/>
              </w:rPr>
            </w:pPr>
            <w:r w:rsidRPr="007E5EAD">
              <w:rPr>
                <w:rFonts w:cs="Arial"/>
                <w:b/>
                <w:bCs/>
                <w:color w:val="000000"/>
                <w:szCs w:val="20"/>
              </w:rPr>
              <w:t xml:space="preserve">Operativo </w:t>
            </w:r>
          </w:p>
        </w:tc>
        <w:tc>
          <w:tcPr>
            <w:tcW w:w="1200" w:type="dxa"/>
            <w:noWrap/>
            <w:hideMark/>
          </w:tcPr>
          <w:p w14:paraId="6C39E0D4" w14:textId="77777777" w:rsidR="00F70ED9" w:rsidRPr="007E5EAD" w:rsidRDefault="00F70ED9" w:rsidP="00622AB9">
            <w:pPr>
              <w:spacing w:after="160"/>
              <w:jc w:val="right"/>
              <w:rPr>
                <w:rFonts w:cs="Arial"/>
                <w:color w:val="000000"/>
                <w:szCs w:val="20"/>
              </w:rPr>
            </w:pPr>
            <w:r w:rsidRPr="007E5EAD">
              <w:rPr>
                <w:rFonts w:cs="Arial"/>
                <w:color w:val="000000"/>
                <w:szCs w:val="20"/>
              </w:rPr>
              <w:t>22,849</w:t>
            </w:r>
          </w:p>
        </w:tc>
        <w:tc>
          <w:tcPr>
            <w:tcW w:w="1200" w:type="dxa"/>
            <w:noWrap/>
            <w:hideMark/>
          </w:tcPr>
          <w:p w14:paraId="03730407" w14:textId="77777777" w:rsidR="00F70ED9" w:rsidRPr="007E5EAD" w:rsidRDefault="00F70ED9" w:rsidP="00622AB9">
            <w:pPr>
              <w:spacing w:after="160"/>
              <w:jc w:val="right"/>
              <w:rPr>
                <w:rFonts w:cs="Arial"/>
                <w:color w:val="000000"/>
                <w:szCs w:val="20"/>
              </w:rPr>
            </w:pPr>
            <w:r w:rsidRPr="007E5EAD">
              <w:rPr>
                <w:rFonts w:cs="Arial"/>
                <w:color w:val="000000"/>
                <w:szCs w:val="20"/>
              </w:rPr>
              <w:t>41,013</w:t>
            </w:r>
          </w:p>
        </w:tc>
        <w:tc>
          <w:tcPr>
            <w:tcW w:w="1200" w:type="dxa"/>
            <w:noWrap/>
            <w:hideMark/>
          </w:tcPr>
          <w:p w14:paraId="6E6E404E" w14:textId="77777777" w:rsidR="00F70ED9" w:rsidRPr="007E5EAD" w:rsidRDefault="00F70ED9" w:rsidP="00622AB9">
            <w:pPr>
              <w:spacing w:after="160"/>
              <w:jc w:val="right"/>
              <w:rPr>
                <w:rFonts w:cs="Arial"/>
                <w:color w:val="000000"/>
                <w:szCs w:val="20"/>
              </w:rPr>
            </w:pPr>
            <w:r w:rsidRPr="007E5EAD">
              <w:rPr>
                <w:rFonts w:cs="Arial"/>
                <w:color w:val="000000"/>
                <w:szCs w:val="20"/>
              </w:rPr>
              <w:t>59,326</w:t>
            </w:r>
          </w:p>
        </w:tc>
      </w:tr>
      <w:tr w:rsidR="00F70ED9" w:rsidRPr="007E5EAD" w14:paraId="67F7EA6C" w14:textId="77777777" w:rsidTr="00622AB9">
        <w:trPr>
          <w:trHeight w:val="290"/>
          <w:jc w:val="center"/>
        </w:trPr>
        <w:tc>
          <w:tcPr>
            <w:tcW w:w="1880" w:type="dxa"/>
            <w:noWrap/>
            <w:hideMark/>
          </w:tcPr>
          <w:p w14:paraId="7499EC04" w14:textId="77777777" w:rsidR="00F70ED9" w:rsidRPr="007E5EAD" w:rsidRDefault="00F70ED9" w:rsidP="00033121">
            <w:pPr>
              <w:spacing w:after="160"/>
              <w:rPr>
                <w:rFonts w:cs="Arial"/>
                <w:b/>
                <w:bCs/>
                <w:color w:val="000000"/>
                <w:szCs w:val="20"/>
              </w:rPr>
            </w:pPr>
            <w:r w:rsidRPr="007E5EAD">
              <w:rPr>
                <w:rFonts w:cs="Arial"/>
                <w:b/>
                <w:bCs/>
                <w:color w:val="000000"/>
                <w:szCs w:val="20"/>
              </w:rPr>
              <w:t xml:space="preserve">Profesional </w:t>
            </w:r>
          </w:p>
        </w:tc>
        <w:tc>
          <w:tcPr>
            <w:tcW w:w="1200" w:type="dxa"/>
            <w:noWrap/>
            <w:hideMark/>
          </w:tcPr>
          <w:p w14:paraId="35F1963A" w14:textId="77777777" w:rsidR="00F70ED9" w:rsidRPr="007E5EAD" w:rsidRDefault="00F70ED9" w:rsidP="00622AB9">
            <w:pPr>
              <w:spacing w:after="160"/>
              <w:jc w:val="right"/>
              <w:rPr>
                <w:rFonts w:cs="Arial"/>
                <w:color w:val="000000"/>
                <w:szCs w:val="20"/>
              </w:rPr>
            </w:pPr>
            <w:r w:rsidRPr="007E5EAD">
              <w:rPr>
                <w:rFonts w:cs="Arial"/>
                <w:color w:val="000000"/>
                <w:szCs w:val="20"/>
              </w:rPr>
              <w:t>8,521</w:t>
            </w:r>
          </w:p>
        </w:tc>
        <w:tc>
          <w:tcPr>
            <w:tcW w:w="1200" w:type="dxa"/>
            <w:noWrap/>
            <w:hideMark/>
          </w:tcPr>
          <w:p w14:paraId="101D0671" w14:textId="77777777" w:rsidR="00F70ED9" w:rsidRPr="007E5EAD" w:rsidRDefault="00F70ED9" w:rsidP="00622AB9">
            <w:pPr>
              <w:spacing w:after="160"/>
              <w:jc w:val="right"/>
              <w:rPr>
                <w:rFonts w:cs="Arial"/>
                <w:color w:val="000000"/>
                <w:szCs w:val="20"/>
              </w:rPr>
            </w:pPr>
            <w:r w:rsidRPr="007E5EAD">
              <w:rPr>
                <w:rFonts w:cs="Arial"/>
                <w:color w:val="000000"/>
                <w:szCs w:val="20"/>
              </w:rPr>
              <w:t>19,792</w:t>
            </w:r>
          </w:p>
        </w:tc>
        <w:tc>
          <w:tcPr>
            <w:tcW w:w="1200" w:type="dxa"/>
            <w:noWrap/>
            <w:hideMark/>
          </w:tcPr>
          <w:p w14:paraId="448CC896" w14:textId="77777777" w:rsidR="00F70ED9" w:rsidRPr="007E5EAD" w:rsidRDefault="00F70ED9" w:rsidP="00622AB9">
            <w:pPr>
              <w:spacing w:after="160"/>
              <w:jc w:val="right"/>
              <w:rPr>
                <w:rFonts w:cs="Arial"/>
                <w:color w:val="000000"/>
                <w:szCs w:val="20"/>
              </w:rPr>
            </w:pPr>
            <w:r w:rsidRPr="007E5EAD">
              <w:rPr>
                <w:rFonts w:cs="Arial"/>
                <w:color w:val="000000"/>
                <w:szCs w:val="20"/>
              </w:rPr>
              <w:t>13,453</w:t>
            </w:r>
          </w:p>
        </w:tc>
      </w:tr>
      <w:tr w:rsidR="00F70ED9" w:rsidRPr="007E5EAD" w14:paraId="3BD957A2" w14:textId="77777777" w:rsidTr="00622AB9">
        <w:trPr>
          <w:trHeight w:val="290"/>
          <w:jc w:val="center"/>
        </w:trPr>
        <w:tc>
          <w:tcPr>
            <w:tcW w:w="1880" w:type="dxa"/>
            <w:noWrap/>
            <w:hideMark/>
          </w:tcPr>
          <w:p w14:paraId="2CE91976" w14:textId="77777777" w:rsidR="00F70ED9" w:rsidRPr="007E5EAD" w:rsidRDefault="00F70ED9" w:rsidP="00033121">
            <w:pPr>
              <w:spacing w:after="160"/>
              <w:rPr>
                <w:rFonts w:cs="Arial"/>
                <w:b/>
                <w:bCs/>
                <w:color w:val="000000"/>
                <w:szCs w:val="20"/>
              </w:rPr>
            </w:pPr>
            <w:r w:rsidRPr="007E5EAD">
              <w:rPr>
                <w:rFonts w:cs="Arial"/>
                <w:b/>
                <w:bCs/>
                <w:color w:val="000000"/>
                <w:szCs w:val="20"/>
              </w:rPr>
              <w:t xml:space="preserve">Gerencial </w:t>
            </w:r>
          </w:p>
        </w:tc>
        <w:tc>
          <w:tcPr>
            <w:tcW w:w="1200" w:type="dxa"/>
            <w:noWrap/>
            <w:hideMark/>
          </w:tcPr>
          <w:p w14:paraId="7CF7B0CC" w14:textId="77777777" w:rsidR="00F70ED9" w:rsidRPr="007E5EAD" w:rsidRDefault="00F70ED9" w:rsidP="00622AB9">
            <w:pPr>
              <w:spacing w:after="160"/>
              <w:jc w:val="right"/>
              <w:rPr>
                <w:rFonts w:cs="Arial"/>
                <w:color w:val="000000"/>
                <w:szCs w:val="20"/>
              </w:rPr>
            </w:pPr>
            <w:r w:rsidRPr="007E5EAD">
              <w:rPr>
                <w:rFonts w:cs="Arial"/>
                <w:color w:val="000000"/>
                <w:szCs w:val="20"/>
              </w:rPr>
              <w:t>6,482</w:t>
            </w:r>
          </w:p>
        </w:tc>
        <w:tc>
          <w:tcPr>
            <w:tcW w:w="1200" w:type="dxa"/>
            <w:noWrap/>
            <w:hideMark/>
          </w:tcPr>
          <w:p w14:paraId="454671E7" w14:textId="77777777" w:rsidR="00F70ED9" w:rsidRPr="007E5EAD" w:rsidRDefault="00F70ED9" w:rsidP="00622AB9">
            <w:pPr>
              <w:spacing w:after="160"/>
              <w:jc w:val="right"/>
              <w:rPr>
                <w:rFonts w:cs="Arial"/>
                <w:color w:val="000000"/>
                <w:szCs w:val="20"/>
              </w:rPr>
            </w:pPr>
            <w:r w:rsidRPr="007E5EAD">
              <w:rPr>
                <w:rFonts w:cs="Arial"/>
                <w:color w:val="000000"/>
                <w:szCs w:val="20"/>
              </w:rPr>
              <w:t>4,175</w:t>
            </w:r>
          </w:p>
        </w:tc>
        <w:tc>
          <w:tcPr>
            <w:tcW w:w="1200" w:type="dxa"/>
            <w:noWrap/>
            <w:hideMark/>
          </w:tcPr>
          <w:p w14:paraId="3A8C850F" w14:textId="77777777" w:rsidR="00F70ED9" w:rsidRPr="007E5EAD" w:rsidRDefault="00F70ED9" w:rsidP="00622AB9">
            <w:pPr>
              <w:spacing w:after="160"/>
              <w:jc w:val="right"/>
              <w:rPr>
                <w:rFonts w:cs="Arial"/>
                <w:color w:val="000000"/>
                <w:szCs w:val="20"/>
              </w:rPr>
            </w:pPr>
            <w:r w:rsidRPr="007E5EAD">
              <w:rPr>
                <w:rFonts w:cs="Arial"/>
                <w:color w:val="000000"/>
                <w:szCs w:val="20"/>
              </w:rPr>
              <w:t>8,700</w:t>
            </w:r>
          </w:p>
        </w:tc>
      </w:tr>
      <w:tr w:rsidR="00F70ED9" w:rsidRPr="007E5EAD" w14:paraId="23ADA304" w14:textId="77777777" w:rsidTr="00622AB9">
        <w:trPr>
          <w:trHeight w:val="290"/>
          <w:jc w:val="center"/>
        </w:trPr>
        <w:tc>
          <w:tcPr>
            <w:tcW w:w="1880" w:type="dxa"/>
            <w:noWrap/>
            <w:hideMark/>
          </w:tcPr>
          <w:p w14:paraId="1C03AAC2" w14:textId="77777777" w:rsidR="00F70ED9" w:rsidRPr="007E5EAD" w:rsidRDefault="00F70ED9" w:rsidP="00033121">
            <w:pPr>
              <w:spacing w:after="160"/>
              <w:rPr>
                <w:rFonts w:cs="Arial"/>
                <w:b/>
                <w:bCs/>
                <w:color w:val="000000"/>
                <w:szCs w:val="20"/>
              </w:rPr>
            </w:pPr>
            <w:r w:rsidRPr="007E5EAD">
              <w:rPr>
                <w:rFonts w:cs="Arial"/>
                <w:b/>
                <w:bCs/>
                <w:color w:val="000000"/>
                <w:szCs w:val="20"/>
              </w:rPr>
              <w:t xml:space="preserve">Total </w:t>
            </w:r>
          </w:p>
        </w:tc>
        <w:tc>
          <w:tcPr>
            <w:tcW w:w="1200" w:type="dxa"/>
            <w:noWrap/>
            <w:hideMark/>
          </w:tcPr>
          <w:p w14:paraId="3A3A1C8F" w14:textId="77777777" w:rsidR="00F70ED9" w:rsidRPr="007E5EAD" w:rsidRDefault="00F70ED9" w:rsidP="00622AB9">
            <w:pPr>
              <w:spacing w:after="160"/>
              <w:jc w:val="right"/>
              <w:rPr>
                <w:rFonts w:cs="Arial"/>
                <w:b/>
                <w:bCs/>
                <w:color w:val="000000"/>
                <w:szCs w:val="20"/>
              </w:rPr>
            </w:pPr>
            <w:r w:rsidRPr="007E5EAD">
              <w:rPr>
                <w:rFonts w:cs="Arial"/>
                <w:b/>
                <w:bCs/>
                <w:color w:val="000000"/>
                <w:szCs w:val="20"/>
              </w:rPr>
              <w:t>37,852</w:t>
            </w:r>
          </w:p>
        </w:tc>
        <w:tc>
          <w:tcPr>
            <w:tcW w:w="1200" w:type="dxa"/>
            <w:noWrap/>
            <w:hideMark/>
          </w:tcPr>
          <w:p w14:paraId="6266603B" w14:textId="77777777" w:rsidR="00F70ED9" w:rsidRPr="007E5EAD" w:rsidRDefault="00F70ED9" w:rsidP="00622AB9">
            <w:pPr>
              <w:spacing w:after="160"/>
              <w:jc w:val="right"/>
              <w:rPr>
                <w:rFonts w:cs="Arial"/>
                <w:b/>
                <w:bCs/>
                <w:color w:val="000000"/>
                <w:szCs w:val="20"/>
              </w:rPr>
            </w:pPr>
            <w:r w:rsidRPr="007E5EAD">
              <w:rPr>
                <w:rFonts w:cs="Arial"/>
                <w:b/>
                <w:bCs/>
                <w:color w:val="000000"/>
                <w:szCs w:val="20"/>
              </w:rPr>
              <w:t>64,980</w:t>
            </w:r>
          </w:p>
        </w:tc>
        <w:tc>
          <w:tcPr>
            <w:tcW w:w="1200" w:type="dxa"/>
            <w:noWrap/>
            <w:hideMark/>
          </w:tcPr>
          <w:p w14:paraId="0C869FD0" w14:textId="77777777" w:rsidR="00F70ED9" w:rsidRPr="007E5EAD" w:rsidRDefault="00F70ED9" w:rsidP="00622AB9">
            <w:pPr>
              <w:spacing w:after="160"/>
              <w:jc w:val="right"/>
              <w:rPr>
                <w:rFonts w:cs="Arial"/>
                <w:b/>
                <w:bCs/>
                <w:color w:val="000000"/>
                <w:szCs w:val="20"/>
              </w:rPr>
            </w:pPr>
            <w:r w:rsidRPr="007E5EAD">
              <w:rPr>
                <w:rFonts w:cs="Arial"/>
                <w:b/>
                <w:bCs/>
                <w:color w:val="000000"/>
                <w:szCs w:val="20"/>
              </w:rPr>
              <w:t>81,480</w:t>
            </w:r>
          </w:p>
        </w:tc>
      </w:tr>
    </w:tbl>
    <w:p w14:paraId="52D6690D" w14:textId="77777777" w:rsidR="00A526C3" w:rsidRPr="00382A62" w:rsidRDefault="00A526C3" w:rsidP="00A526C3">
      <w:pPr>
        <w:rPr>
          <w:rFonts w:eastAsia="Arial" w:cs="Arial"/>
          <w:szCs w:val="20"/>
        </w:rPr>
      </w:pPr>
    </w:p>
    <w:p w14:paraId="64A92AB7" w14:textId="68C2F2B7" w:rsidR="007605E6" w:rsidRPr="00382A62" w:rsidRDefault="007605E6" w:rsidP="00147CF2">
      <w:pPr>
        <w:pStyle w:val="Ttulo3"/>
        <w:numPr>
          <w:ilvl w:val="1"/>
          <w:numId w:val="27"/>
        </w:numPr>
        <w:rPr>
          <w:rFonts w:cs="Arial"/>
          <w:sz w:val="20"/>
          <w:szCs w:val="20"/>
        </w:rPr>
      </w:pPr>
      <w:bookmarkStart w:id="208" w:name="_Toc131092905"/>
      <w:bookmarkStart w:id="209" w:name="_Toc131501106"/>
      <w:bookmarkStart w:id="210" w:name="_Toc169624664"/>
      <w:r w:rsidRPr="00382A62">
        <w:rPr>
          <w:rFonts w:cs="Arial"/>
          <w:sz w:val="20"/>
          <w:szCs w:val="20"/>
        </w:rPr>
        <w:t>FIFCO Segura</w:t>
      </w:r>
      <w:bookmarkEnd w:id="208"/>
      <w:bookmarkEnd w:id="209"/>
      <w:bookmarkEnd w:id="210"/>
    </w:p>
    <w:p w14:paraId="764B03DC" w14:textId="77777777" w:rsidR="001628E0" w:rsidRPr="00382A62" w:rsidRDefault="001628E0" w:rsidP="001628E0">
      <w:pPr>
        <w:rPr>
          <w:rFonts w:eastAsia="Arial" w:cs="Arial"/>
          <w:szCs w:val="20"/>
        </w:rPr>
      </w:pPr>
      <w:r w:rsidRPr="00382A62">
        <w:rPr>
          <w:rFonts w:eastAsia="Arial" w:cs="Arial"/>
          <w:szCs w:val="20"/>
        </w:rPr>
        <w:t xml:space="preserve">Sabiendo que uno de los retos más importantes es lograr una verdadera humanización implícita en los entornos de trabajo, FIFCO mantiene una estrategia dirigida hacia el cuidado de sus colaboradores en línea hacia lo que organizacionalmente llamamos “Seguridad Primero” </w:t>
      </w:r>
    </w:p>
    <w:p w14:paraId="4531CF51" w14:textId="77777777" w:rsidR="00B77E77" w:rsidRPr="00382A62" w:rsidRDefault="001628E0" w:rsidP="007605E6">
      <w:pPr>
        <w:rPr>
          <w:rFonts w:eastAsia="Arial" w:cs="Arial"/>
          <w:szCs w:val="20"/>
        </w:rPr>
      </w:pPr>
      <w:r w:rsidRPr="00382A62">
        <w:rPr>
          <w:rFonts w:eastAsia="Arial" w:cs="Arial"/>
          <w:szCs w:val="20"/>
        </w:rPr>
        <w:lastRenderedPageBreak/>
        <w:t>En el 2023 se afianzó la cultura de seguridad por medio de capacitaciones, programas y campañas, así también se trabajó de la mano del área de Salud, impulsando la salud preventiva con el programa de Estar Bien.</w:t>
      </w:r>
      <w:r w:rsidR="00112AEE" w:rsidRPr="00382A62">
        <w:rPr>
          <w:rFonts w:eastAsia="Arial" w:cs="Arial"/>
          <w:szCs w:val="20"/>
        </w:rPr>
        <w:t xml:space="preserve"> </w:t>
      </w:r>
    </w:p>
    <w:p w14:paraId="2B4B3878" w14:textId="68133DAC" w:rsidR="00112AEE" w:rsidRPr="00382A62" w:rsidRDefault="001628E0" w:rsidP="007605E6">
      <w:pPr>
        <w:rPr>
          <w:rFonts w:eastAsia="Arial" w:cs="Arial"/>
          <w:szCs w:val="20"/>
        </w:rPr>
      </w:pPr>
      <w:r w:rsidRPr="00382A62">
        <w:rPr>
          <w:rFonts w:eastAsia="Arial" w:cs="Arial"/>
          <w:szCs w:val="20"/>
        </w:rPr>
        <w:t>En este periodo y en las diferentes geografías y operaciones, se desarrollaron diversas campañas</w:t>
      </w:r>
      <w:r w:rsidR="007605E6" w:rsidRPr="00382A62">
        <w:rPr>
          <w:rFonts w:eastAsia="Arial" w:cs="Arial"/>
          <w:szCs w:val="20"/>
        </w:rPr>
        <w:t>.</w:t>
      </w:r>
      <w:r w:rsidR="00112AEE" w:rsidRPr="00382A62">
        <w:rPr>
          <w:rFonts w:eastAsia="Arial" w:cs="Arial"/>
          <w:szCs w:val="20"/>
        </w:rPr>
        <w:t xml:space="preserve"> </w:t>
      </w:r>
    </w:p>
    <w:p w14:paraId="075BE366" w14:textId="1AA79D53" w:rsidR="007605E6" w:rsidRPr="00382A62" w:rsidRDefault="007605E6" w:rsidP="007605E6">
      <w:pPr>
        <w:rPr>
          <w:rFonts w:cs="Arial"/>
          <w:szCs w:val="20"/>
        </w:rPr>
      </w:pPr>
      <w:r w:rsidRPr="00382A62">
        <w:rPr>
          <w:rFonts w:cs="Arial"/>
          <w:szCs w:val="20"/>
        </w:rPr>
        <w:t>Principales Logros:</w:t>
      </w:r>
    </w:p>
    <w:p w14:paraId="0BC07A5E" w14:textId="35A93379" w:rsidR="00797DD0" w:rsidRPr="00382A62" w:rsidRDefault="00797DD0" w:rsidP="00505040">
      <w:pPr>
        <w:pStyle w:val="Prrafodelista"/>
        <w:numPr>
          <w:ilvl w:val="0"/>
          <w:numId w:val="42"/>
        </w:numPr>
        <w:rPr>
          <w:rFonts w:cs="Arial"/>
          <w:szCs w:val="20"/>
        </w:rPr>
      </w:pPr>
      <w:r w:rsidRPr="00382A62">
        <w:rPr>
          <w:rFonts w:cs="Arial"/>
          <w:szCs w:val="20"/>
        </w:rPr>
        <w:t>Comunicación constante a nivel corporativo para generar conciencia y reforzamiento positivo hacia todos los niveles de la organización.</w:t>
      </w:r>
    </w:p>
    <w:p w14:paraId="2420EC78" w14:textId="4CD8FF2B" w:rsidR="00797DD0" w:rsidRPr="00382A62" w:rsidRDefault="00797DD0" w:rsidP="00D536D2">
      <w:pPr>
        <w:pStyle w:val="Prrafodelista"/>
        <w:numPr>
          <w:ilvl w:val="0"/>
          <w:numId w:val="42"/>
        </w:numPr>
        <w:rPr>
          <w:rFonts w:cs="Arial"/>
          <w:szCs w:val="20"/>
        </w:rPr>
      </w:pPr>
      <w:r w:rsidRPr="00382A62">
        <w:rPr>
          <w:rFonts w:cs="Arial"/>
          <w:szCs w:val="20"/>
        </w:rPr>
        <w:t>Celebración corporativa del día internacional de la Salud y Seguridad en el Trabajo.</w:t>
      </w:r>
    </w:p>
    <w:p w14:paraId="653BB656" w14:textId="3E96B4DD" w:rsidR="00734D67" w:rsidRPr="00382A62" w:rsidRDefault="00734D67" w:rsidP="007C38FE">
      <w:pPr>
        <w:pStyle w:val="Prrafodelista"/>
        <w:numPr>
          <w:ilvl w:val="0"/>
          <w:numId w:val="42"/>
        </w:numPr>
        <w:rPr>
          <w:rFonts w:cs="Arial"/>
          <w:szCs w:val="20"/>
        </w:rPr>
      </w:pPr>
      <w:r w:rsidRPr="00382A62">
        <w:rPr>
          <w:rFonts w:cs="Arial"/>
          <w:szCs w:val="20"/>
        </w:rPr>
        <w:t>Incentivar el reforzamiento de la cultura en Seguridad bajo una metodología más lúdica.</w:t>
      </w:r>
    </w:p>
    <w:p w14:paraId="601E6993" w14:textId="3509F1EF" w:rsidR="00AC0C6E" w:rsidRPr="00382A62" w:rsidRDefault="00AC0C6E" w:rsidP="00BA727B">
      <w:pPr>
        <w:pStyle w:val="Prrafodelista"/>
        <w:numPr>
          <w:ilvl w:val="0"/>
          <w:numId w:val="42"/>
        </w:numPr>
        <w:rPr>
          <w:rFonts w:cs="Arial"/>
          <w:szCs w:val="20"/>
        </w:rPr>
      </w:pPr>
      <w:r w:rsidRPr="00382A62">
        <w:rPr>
          <w:rFonts w:cs="Arial"/>
          <w:szCs w:val="20"/>
        </w:rPr>
        <w:t>Consolidación del Pilar de Safety Corporativo en el área de bebidas y alimentos.</w:t>
      </w:r>
    </w:p>
    <w:p w14:paraId="7FD6C5E9" w14:textId="599CCDE5" w:rsidR="00AC0C6E" w:rsidRPr="00382A62" w:rsidRDefault="00AC0C6E" w:rsidP="00707628">
      <w:pPr>
        <w:pStyle w:val="Prrafodelista"/>
        <w:numPr>
          <w:ilvl w:val="0"/>
          <w:numId w:val="42"/>
        </w:numPr>
        <w:rPr>
          <w:rFonts w:cs="Arial"/>
          <w:szCs w:val="20"/>
        </w:rPr>
      </w:pPr>
      <w:r w:rsidRPr="00382A62">
        <w:rPr>
          <w:rFonts w:cs="Arial"/>
          <w:szCs w:val="20"/>
        </w:rPr>
        <w:t>Avance en la implementación del programa del Sistema Contra Incendios, con una reducción del riesgo inherente en un 8,9% sobre el riesgo residual en el área de bebidas y alimentos.</w:t>
      </w:r>
    </w:p>
    <w:p w14:paraId="4CE09B1B" w14:textId="2F07018F" w:rsidR="00C1694D" w:rsidRPr="00382A62" w:rsidRDefault="00C1694D" w:rsidP="00CD0CCB">
      <w:pPr>
        <w:pStyle w:val="Prrafodelista"/>
        <w:numPr>
          <w:ilvl w:val="0"/>
          <w:numId w:val="42"/>
        </w:numPr>
        <w:rPr>
          <w:rFonts w:cs="Arial"/>
          <w:szCs w:val="20"/>
        </w:rPr>
      </w:pPr>
      <w:r w:rsidRPr="00382A62">
        <w:rPr>
          <w:rFonts w:cs="Arial"/>
          <w:szCs w:val="20"/>
        </w:rPr>
        <w:t>Trabajo constante en capacitaciones para nuestros colaboradores en temas como tareas críticas (trabajos en altura, caliente, espacios confinados, LOTOTO), brigadas, uso de equipo protección personal, uso de montacargas, manejo de amoniaco y CO2 (en planta cerveza), manejo defensivo, manejo manual de cargas, reglas que salvan vidas, etc.</w:t>
      </w:r>
    </w:p>
    <w:p w14:paraId="79E97E11" w14:textId="10DB41C6" w:rsidR="007605E6" w:rsidRPr="00382A62" w:rsidRDefault="007605E6" w:rsidP="00C1694D">
      <w:pPr>
        <w:pStyle w:val="Prrafodelista"/>
        <w:rPr>
          <w:rFonts w:cs="Arial"/>
          <w:szCs w:val="20"/>
        </w:rPr>
      </w:pPr>
      <w:r w:rsidRPr="00382A62">
        <w:rPr>
          <w:rFonts w:cs="Arial"/>
          <w:szCs w:val="20"/>
        </w:rPr>
        <w:t>.</w:t>
      </w:r>
    </w:p>
    <w:p w14:paraId="0D9640D9" w14:textId="60FEF5E8" w:rsidR="007605E6" w:rsidRPr="00382A62" w:rsidRDefault="007605E6" w:rsidP="00147CF2">
      <w:pPr>
        <w:pStyle w:val="Ttulo2"/>
        <w:numPr>
          <w:ilvl w:val="0"/>
          <w:numId w:val="27"/>
        </w:numPr>
        <w:rPr>
          <w:rFonts w:cs="Arial"/>
          <w:sz w:val="20"/>
          <w:szCs w:val="20"/>
        </w:rPr>
      </w:pPr>
      <w:bookmarkStart w:id="211" w:name="_Toc131092906"/>
      <w:bookmarkStart w:id="212" w:name="_Toc131501107"/>
      <w:bookmarkStart w:id="213" w:name="_Toc169624665"/>
      <w:r w:rsidRPr="00382A62">
        <w:rPr>
          <w:rFonts w:cs="Arial"/>
          <w:sz w:val="20"/>
          <w:szCs w:val="20"/>
        </w:rPr>
        <w:t>Resultados de Operación - Dimensión Social Externa</w:t>
      </w:r>
      <w:bookmarkEnd w:id="211"/>
      <w:bookmarkEnd w:id="212"/>
      <w:bookmarkEnd w:id="213"/>
    </w:p>
    <w:p w14:paraId="44F8C9E1" w14:textId="77777777" w:rsidR="00944B2F" w:rsidRPr="00382A62" w:rsidRDefault="001E037B" w:rsidP="007605E6">
      <w:pPr>
        <w:rPr>
          <w:rFonts w:eastAsia="Arial" w:cs="Arial"/>
          <w:szCs w:val="20"/>
        </w:rPr>
      </w:pPr>
      <w:r w:rsidRPr="00382A62">
        <w:rPr>
          <w:rFonts w:eastAsia="Arial" w:cs="Arial"/>
          <w:szCs w:val="20"/>
        </w:rPr>
        <w:t>Durante el 2023, gracias al trabajo de todas nuestras personas colaboradoras y públicos aliados se alcanzó la meta del millón de horas de voluntariado</w:t>
      </w:r>
    </w:p>
    <w:p w14:paraId="0AB1ED7E" w14:textId="3BEE88EF" w:rsidR="007605E6" w:rsidRPr="00382A62" w:rsidRDefault="00944B2F" w:rsidP="00944B2F">
      <w:pPr>
        <w:rPr>
          <w:rFonts w:cs="Arial"/>
          <w:szCs w:val="20"/>
        </w:rPr>
      </w:pPr>
      <w:r w:rsidRPr="00382A62">
        <w:rPr>
          <w:rFonts w:cs="Arial"/>
          <w:szCs w:val="20"/>
        </w:rPr>
        <w:t>Los programas de voluntariado estuvieron orientados a temas ambientales y sociales. Por otro lado, se tuvo importantes avances</w:t>
      </w:r>
      <w:r w:rsidR="00621E7A" w:rsidRPr="00382A62">
        <w:rPr>
          <w:rFonts w:cs="Arial"/>
          <w:szCs w:val="20"/>
        </w:rPr>
        <w:t xml:space="preserve"> </w:t>
      </w:r>
      <w:r w:rsidRPr="00382A62">
        <w:rPr>
          <w:rFonts w:cs="Arial"/>
          <w:szCs w:val="20"/>
        </w:rPr>
        <w:t>en materia de consumo inteligente, mejorando los niveles de azúcar presente en bebidas y el consumo responsable de bebidas alcohólicas entre los mayores de edad.</w:t>
      </w:r>
    </w:p>
    <w:p w14:paraId="66F0B9F0" w14:textId="3C009385" w:rsidR="007605E6" w:rsidRPr="00382A62" w:rsidRDefault="007605E6" w:rsidP="007605E6">
      <w:pPr>
        <w:rPr>
          <w:rFonts w:cs="Arial"/>
          <w:szCs w:val="20"/>
        </w:rPr>
      </w:pPr>
      <w:r w:rsidRPr="00382A62">
        <w:rPr>
          <w:rFonts w:cs="Arial"/>
          <w:szCs w:val="20"/>
        </w:rPr>
        <w:t>Durante el 202</w:t>
      </w:r>
      <w:r w:rsidR="00621E7A" w:rsidRPr="00382A62">
        <w:rPr>
          <w:rFonts w:cs="Arial"/>
          <w:szCs w:val="20"/>
        </w:rPr>
        <w:t>3</w:t>
      </w:r>
      <w:r w:rsidRPr="00382A62">
        <w:rPr>
          <w:rFonts w:cs="Arial"/>
          <w:szCs w:val="20"/>
        </w:rPr>
        <w:t xml:space="preserve"> 4</w:t>
      </w:r>
      <w:r w:rsidR="00621E7A" w:rsidRPr="00382A62">
        <w:rPr>
          <w:rFonts w:cs="Arial"/>
          <w:szCs w:val="20"/>
        </w:rPr>
        <w:t>.46</w:t>
      </w:r>
      <w:r w:rsidRPr="00382A62">
        <w:rPr>
          <w:rFonts w:cs="Arial"/>
          <w:szCs w:val="20"/>
        </w:rPr>
        <w:t>% de las utilidades fueron destinadas a inversión social.</w:t>
      </w:r>
    </w:p>
    <w:p w14:paraId="3C1A0ABF" w14:textId="77777777" w:rsidR="007605E6" w:rsidRPr="00382A62" w:rsidRDefault="007605E6" w:rsidP="00147CF2">
      <w:pPr>
        <w:pStyle w:val="Ttulo3"/>
        <w:numPr>
          <w:ilvl w:val="1"/>
          <w:numId w:val="27"/>
        </w:numPr>
        <w:rPr>
          <w:rFonts w:cs="Arial"/>
          <w:sz w:val="20"/>
          <w:szCs w:val="20"/>
        </w:rPr>
      </w:pPr>
      <w:bookmarkStart w:id="214" w:name="_Toc131092907"/>
      <w:bookmarkStart w:id="215" w:name="_Toc131501108"/>
      <w:bookmarkStart w:id="216" w:name="_Toc169624666"/>
      <w:r w:rsidRPr="00382A62">
        <w:rPr>
          <w:rFonts w:cs="Arial"/>
          <w:sz w:val="20"/>
          <w:szCs w:val="20"/>
        </w:rPr>
        <w:t>Consumo Inteligente Integral</w:t>
      </w:r>
      <w:bookmarkEnd w:id="214"/>
      <w:bookmarkEnd w:id="215"/>
      <w:bookmarkEnd w:id="216"/>
    </w:p>
    <w:p w14:paraId="4E1B2411" w14:textId="77777777" w:rsidR="007605E6" w:rsidRPr="00382A62" w:rsidRDefault="007605E6" w:rsidP="007605E6">
      <w:pPr>
        <w:rPr>
          <w:rFonts w:cs="Arial"/>
          <w:szCs w:val="20"/>
        </w:rPr>
      </w:pPr>
      <w:r w:rsidRPr="00382A62">
        <w:rPr>
          <w:rFonts w:eastAsia="Arial" w:cs="Arial"/>
          <w:szCs w:val="20"/>
        </w:rPr>
        <w:t>El programa Consumo Inteligente Integral se crea con el fin de sensibilizar a la población adulta sobre estilos de vida saludables y activos, patrones de consumo de alcohol, bebidas y alimentos, así como la promoción de la salud en general.</w:t>
      </w:r>
    </w:p>
    <w:p w14:paraId="52ABC94B" w14:textId="77777777" w:rsidR="00540498" w:rsidRDefault="00540498" w:rsidP="007605E6">
      <w:pPr>
        <w:pStyle w:val="Descripcin"/>
        <w:rPr>
          <w:rFonts w:cs="Arial"/>
          <w:szCs w:val="20"/>
        </w:rPr>
      </w:pPr>
    </w:p>
    <w:p w14:paraId="3BA830D6" w14:textId="77777777" w:rsidR="00540498" w:rsidRDefault="00540498" w:rsidP="007605E6">
      <w:pPr>
        <w:pStyle w:val="Descripcin"/>
        <w:rPr>
          <w:rFonts w:cs="Arial"/>
          <w:szCs w:val="20"/>
        </w:rPr>
      </w:pPr>
    </w:p>
    <w:p w14:paraId="742B1EF5" w14:textId="77777777" w:rsidR="00540498" w:rsidRDefault="00540498" w:rsidP="007605E6">
      <w:pPr>
        <w:pStyle w:val="Descripcin"/>
        <w:rPr>
          <w:rFonts w:cs="Arial"/>
          <w:szCs w:val="20"/>
        </w:rPr>
      </w:pPr>
    </w:p>
    <w:p w14:paraId="4A5A4B7C" w14:textId="77777777" w:rsidR="00540498" w:rsidRDefault="00540498" w:rsidP="007605E6">
      <w:pPr>
        <w:pStyle w:val="Descripcin"/>
        <w:rPr>
          <w:rFonts w:cs="Arial"/>
          <w:szCs w:val="20"/>
        </w:rPr>
      </w:pPr>
    </w:p>
    <w:p w14:paraId="0243827C" w14:textId="354F9D82" w:rsidR="007605E6" w:rsidRPr="00382A62" w:rsidRDefault="007605E6" w:rsidP="007605E6">
      <w:pPr>
        <w:pStyle w:val="Descripcin"/>
        <w:rPr>
          <w:rFonts w:cs="Arial"/>
          <w:szCs w:val="20"/>
        </w:rPr>
      </w:pPr>
      <w:bookmarkStart w:id="217" w:name="_Toc169624743"/>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4</w:t>
      </w:r>
      <w:r w:rsidR="00423C23" w:rsidRPr="00382A62">
        <w:rPr>
          <w:rFonts w:cs="Arial"/>
          <w:noProof/>
          <w:szCs w:val="20"/>
        </w:rPr>
        <w:fldChar w:fldCharType="end"/>
      </w:r>
      <w:r w:rsidR="00585663" w:rsidRPr="00382A62">
        <w:rPr>
          <w:rFonts w:cs="Arial"/>
          <w:noProof/>
          <w:szCs w:val="20"/>
        </w:rPr>
        <w:t>7</w:t>
      </w:r>
      <w:r w:rsidRPr="00382A62">
        <w:rPr>
          <w:rFonts w:cs="Arial"/>
          <w:szCs w:val="20"/>
        </w:rPr>
        <w:t xml:space="preserve"> - Agendas de Consumo Inteligente Integral</w:t>
      </w:r>
      <w:bookmarkEnd w:id="217"/>
    </w:p>
    <w:tbl>
      <w:tblPr>
        <w:tblStyle w:val="Tablaconcuadrcula"/>
        <w:tblW w:w="1006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7947"/>
      </w:tblGrid>
      <w:tr w:rsidR="007605E6" w:rsidRPr="00382A62" w14:paraId="4ECD3BAB" w14:textId="77777777" w:rsidTr="007D00B2">
        <w:trPr>
          <w:cantSplit/>
          <w:jc w:val="center"/>
        </w:trPr>
        <w:tc>
          <w:tcPr>
            <w:tcW w:w="2122" w:type="dxa"/>
            <w:shd w:val="clear" w:color="auto" w:fill="F2F2F2" w:themeFill="background1" w:themeFillShade="F2"/>
            <w:vAlign w:val="center"/>
          </w:tcPr>
          <w:p w14:paraId="72F18E82" w14:textId="77777777" w:rsidR="007605E6" w:rsidRPr="00382A62" w:rsidRDefault="007605E6" w:rsidP="007D00B2">
            <w:pPr>
              <w:jc w:val="left"/>
              <w:rPr>
                <w:rFonts w:cs="Arial"/>
                <w:b/>
                <w:bCs/>
                <w:szCs w:val="20"/>
              </w:rPr>
            </w:pPr>
            <w:r w:rsidRPr="00382A62">
              <w:rPr>
                <w:rFonts w:cs="Arial"/>
                <w:b/>
                <w:bCs/>
                <w:szCs w:val="20"/>
              </w:rPr>
              <w:t>Plataforma Virtual Vida Saludable FIFCO-MEP</w:t>
            </w:r>
          </w:p>
        </w:tc>
        <w:tc>
          <w:tcPr>
            <w:tcW w:w="7947" w:type="dxa"/>
            <w:vAlign w:val="center"/>
          </w:tcPr>
          <w:p w14:paraId="74CF3BD1" w14:textId="60DEF7A8" w:rsidR="00447C99" w:rsidRPr="00382A62" w:rsidRDefault="007605E6" w:rsidP="00447C99">
            <w:pPr>
              <w:rPr>
                <w:rFonts w:eastAsia="Arial" w:cs="Arial"/>
                <w:szCs w:val="20"/>
              </w:rPr>
            </w:pPr>
            <w:r w:rsidRPr="00382A62">
              <w:rPr>
                <w:rFonts w:eastAsia="Arial" w:cs="Arial"/>
                <w:szCs w:val="20"/>
              </w:rPr>
              <w:t xml:space="preserve">E-learning Vida Saludable: Impactó a </w:t>
            </w:r>
            <w:r w:rsidR="00447C99" w:rsidRPr="00382A62">
              <w:rPr>
                <w:rFonts w:eastAsia="Arial" w:cs="Arial"/>
                <w:szCs w:val="20"/>
              </w:rPr>
              <w:t>7.980 personas adolescentes impactadas a la fecha, durante el periodo 2020- 2023 y 4 261 que terminaron con éxito. Esta plataforma contiene un</w:t>
            </w:r>
          </w:p>
          <w:p w14:paraId="37F50BAA" w14:textId="268DD450" w:rsidR="007605E6" w:rsidRPr="00382A62" w:rsidRDefault="00447C99" w:rsidP="00447C99">
            <w:pPr>
              <w:rPr>
                <w:rFonts w:cs="Arial"/>
                <w:szCs w:val="20"/>
              </w:rPr>
            </w:pPr>
            <w:r w:rsidRPr="00382A62">
              <w:rPr>
                <w:rFonts w:eastAsia="Arial" w:cs="Arial"/>
                <w:szCs w:val="20"/>
              </w:rPr>
              <w:t xml:space="preserve">módulo de prevención de alcohol en la adolescencia. Esta iniciativa recibió tres premios durante este año </w:t>
            </w:r>
            <w:r w:rsidR="005652B4" w:rsidRPr="00382A62">
              <w:rPr>
                <w:rFonts w:eastAsia="Arial" w:cs="Arial"/>
                <w:szCs w:val="20"/>
              </w:rPr>
              <w:t>2023.</w:t>
            </w:r>
            <w:r w:rsidR="007605E6" w:rsidRPr="00382A62">
              <w:rPr>
                <w:rFonts w:eastAsia="Arial" w:cs="Arial"/>
                <w:szCs w:val="20"/>
              </w:rPr>
              <w:t xml:space="preserve"> Stakeholder Ministerio de Educación Pública bajo el convenio FIFCO – MEP</w:t>
            </w:r>
          </w:p>
        </w:tc>
      </w:tr>
      <w:tr w:rsidR="007605E6" w:rsidRPr="00382A62" w14:paraId="4208787D" w14:textId="77777777" w:rsidTr="007D00B2">
        <w:trPr>
          <w:cantSplit/>
          <w:jc w:val="center"/>
        </w:trPr>
        <w:tc>
          <w:tcPr>
            <w:tcW w:w="2122" w:type="dxa"/>
            <w:shd w:val="clear" w:color="auto" w:fill="F2F2F2" w:themeFill="background1" w:themeFillShade="F2"/>
            <w:vAlign w:val="center"/>
          </w:tcPr>
          <w:p w14:paraId="3276F0D4" w14:textId="77777777" w:rsidR="007605E6" w:rsidRPr="00382A62" w:rsidRDefault="007605E6" w:rsidP="007D00B2">
            <w:pPr>
              <w:jc w:val="left"/>
              <w:rPr>
                <w:rFonts w:cs="Arial"/>
                <w:b/>
                <w:bCs/>
                <w:szCs w:val="20"/>
              </w:rPr>
            </w:pPr>
            <w:r w:rsidRPr="00382A62">
              <w:rPr>
                <w:rFonts w:cs="Arial"/>
                <w:b/>
                <w:bCs/>
                <w:szCs w:val="20"/>
              </w:rPr>
              <w:t>Fortalecimiento del portafolio de bebidas y alimentos más nutritivos</w:t>
            </w:r>
          </w:p>
        </w:tc>
        <w:tc>
          <w:tcPr>
            <w:tcW w:w="7947" w:type="dxa"/>
            <w:vAlign w:val="center"/>
          </w:tcPr>
          <w:p w14:paraId="67ABB9EC" w14:textId="305FBA16" w:rsidR="007605E6" w:rsidRPr="00382A62" w:rsidRDefault="00F00708" w:rsidP="00F00708">
            <w:pPr>
              <w:rPr>
                <w:rFonts w:eastAsia="Arial" w:cs="Arial"/>
                <w:szCs w:val="20"/>
              </w:rPr>
            </w:pPr>
            <w:r w:rsidRPr="00382A62">
              <w:rPr>
                <w:rFonts w:eastAsia="Arial" w:cs="Arial"/>
                <w:szCs w:val="20"/>
              </w:rPr>
              <w:t>A través del liderazgo y coordinación del Departamento de Innovación de FIFCO Rocket, se generaron más de 50 innovaciones segmentadas en nuevos productos (este año incluso nueva categoría propia: destilado Bamboo Guaro), reformulaciones y expansiones geográficas.</w:t>
            </w:r>
          </w:p>
        </w:tc>
      </w:tr>
      <w:tr w:rsidR="007605E6" w:rsidRPr="00382A62" w14:paraId="2EA9DB62" w14:textId="77777777" w:rsidTr="007D00B2">
        <w:trPr>
          <w:cantSplit/>
          <w:jc w:val="center"/>
        </w:trPr>
        <w:tc>
          <w:tcPr>
            <w:tcW w:w="2122" w:type="dxa"/>
            <w:shd w:val="clear" w:color="auto" w:fill="F2F2F2" w:themeFill="background1" w:themeFillShade="F2"/>
            <w:vAlign w:val="center"/>
          </w:tcPr>
          <w:p w14:paraId="5A032083" w14:textId="77777777" w:rsidR="007605E6" w:rsidRPr="00382A62" w:rsidRDefault="007605E6" w:rsidP="007D00B2">
            <w:pPr>
              <w:jc w:val="left"/>
              <w:rPr>
                <w:rFonts w:cs="Arial"/>
                <w:b/>
                <w:bCs/>
                <w:szCs w:val="20"/>
              </w:rPr>
            </w:pPr>
            <w:r w:rsidRPr="00382A62">
              <w:rPr>
                <w:rFonts w:cs="Arial"/>
                <w:b/>
                <w:bCs/>
                <w:szCs w:val="20"/>
              </w:rPr>
              <w:t>Azúcar (Bebidas)</w:t>
            </w:r>
          </w:p>
        </w:tc>
        <w:tc>
          <w:tcPr>
            <w:tcW w:w="7947" w:type="dxa"/>
            <w:vAlign w:val="center"/>
          </w:tcPr>
          <w:p w14:paraId="450317E8" w14:textId="1B06D76B" w:rsidR="007605E6" w:rsidRPr="00382A62" w:rsidRDefault="007605E6" w:rsidP="00507027">
            <w:pPr>
              <w:rPr>
                <w:rFonts w:cs="Arial"/>
                <w:szCs w:val="20"/>
              </w:rPr>
            </w:pPr>
            <w:r w:rsidRPr="00382A62">
              <w:rPr>
                <w:rFonts w:cs="Arial"/>
                <w:szCs w:val="20"/>
              </w:rPr>
              <w:t xml:space="preserve">Una bebida de FIFCO tiene en promedio </w:t>
            </w:r>
            <w:r w:rsidRPr="00382A62">
              <w:rPr>
                <w:rFonts w:eastAsia="Arial" w:cs="Arial"/>
                <w:szCs w:val="20"/>
              </w:rPr>
              <w:t>10,</w:t>
            </w:r>
            <w:r w:rsidR="003A478F" w:rsidRPr="00382A62">
              <w:rPr>
                <w:rFonts w:eastAsia="Arial" w:cs="Arial"/>
                <w:szCs w:val="20"/>
              </w:rPr>
              <w:t>34</w:t>
            </w:r>
            <w:r w:rsidRPr="00382A62">
              <w:rPr>
                <w:rFonts w:eastAsia="Arial" w:cs="Arial"/>
                <w:szCs w:val="20"/>
              </w:rPr>
              <w:t xml:space="preserve"> g de azúcar por porción de 250ml (acumulado anual 202</w:t>
            </w:r>
            <w:r w:rsidR="00533E7E" w:rsidRPr="00382A62">
              <w:rPr>
                <w:rFonts w:eastAsia="Arial" w:cs="Arial"/>
                <w:szCs w:val="20"/>
              </w:rPr>
              <w:t>3</w:t>
            </w:r>
            <w:r w:rsidR="00464E46" w:rsidRPr="00382A62">
              <w:rPr>
                <w:rFonts w:eastAsia="Arial" w:cs="Arial"/>
                <w:szCs w:val="20"/>
              </w:rPr>
              <w:t>)</w:t>
            </w:r>
            <w:r w:rsidRPr="00382A62">
              <w:rPr>
                <w:rFonts w:eastAsia="Arial" w:cs="Arial"/>
                <w:szCs w:val="20"/>
              </w:rPr>
              <w:t xml:space="preserve">. </w:t>
            </w:r>
            <w:r w:rsidR="00507027" w:rsidRPr="00382A62">
              <w:rPr>
                <w:rFonts w:eastAsia="Arial" w:cs="Arial"/>
                <w:szCs w:val="20"/>
              </w:rPr>
              <w:t xml:space="preserve">220 </w:t>
            </w:r>
            <w:r w:rsidR="006E759D" w:rsidRPr="00382A62">
              <w:rPr>
                <w:rFonts w:eastAsia="Arial" w:cs="Arial"/>
                <w:szCs w:val="20"/>
              </w:rPr>
              <w:t>toneladas</w:t>
            </w:r>
            <w:r w:rsidR="00507027" w:rsidRPr="00382A62">
              <w:rPr>
                <w:rFonts w:eastAsia="Arial" w:cs="Arial"/>
                <w:szCs w:val="20"/>
              </w:rPr>
              <w:t xml:space="preserve"> de azúcar menos utilizadas en 2023 vs 2022 en nuestros productos. </w:t>
            </w:r>
          </w:p>
          <w:p w14:paraId="22B902B7" w14:textId="5D977B0B" w:rsidR="007605E6" w:rsidRPr="00382A62" w:rsidRDefault="007605E6" w:rsidP="007D00B2">
            <w:pPr>
              <w:rPr>
                <w:rFonts w:cs="Arial"/>
                <w:szCs w:val="20"/>
              </w:rPr>
            </w:pPr>
            <w:r w:rsidRPr="00382A62">
              <w:rPr>
                <w:rFonts w:eastAsia="Arial" w:cs="Arial"/>
                <w:szCs w:val="20"/>
              </w:rPr>
              <w:t>.</w:t>
            </w:r>
          </w:p>
        </w:tc>
      </w:tr>
      <w:tr w:rsidR="007605E6" w:rsidRPr="00382A62" w14:paraId="05CA7FEB" w14:textId="77777777" w:rsidTr="007D00B2">
        <w:trPr>
          <w:cantSplit/>
          <w:jc w:val="center"/>
        </w:trPr>
        <w:tc>
          <w:tcPr>
            <w:tcW w:w="2122" w:type="dxa"/>
            <w:shd w:val="clear" w:color="auto" w:fill="F2F2F2" w:themeFill="background1" w:themeFillShade="F2"/>
            <w:vAlign w:val="center"/>
          </w:tcPr>
          <w:p w14:paraId="4551FB38" w14:textId="77777777" w:rsidR="007605E6" w:rsidRPr="00382A62" w:rsidRDefault="007605E6" w:rsidP="007D00B2">
            <w:pPr>
              <w:jc w:val="left"/>
              <w:rPr>
                <w:rFonts w:cs="Arial"/>
                <w:b/>
                <w:bCs/>
                <w:szCs w:val="20"/>
              </w:rPr>
            </w:pPr>
            <w:r w:rsidRPr="00382A62">
              <w:rPr>
                <w:rFonts w:cs="Arial"/>
                <w:b/>
                <w:bCs/>
                <w:szCs w:val="20"/>
              </w:rPr>
              <w:t xml:space="preserve">Grasa y Sodio </w:t>
            </w:r>
          </w:p>
        </w:tc>
        <w:tc>
          <w:tcPr>
            <w:tcW w:w="7947" w:type="dxa"/>
            <w:vAlign w:val="center"/>
          </w:tcPr>
          <w:p w14:paraId="16A84A4B" w14:textId="77777777" w:rsidR="007963BD" w:rsidRPr="007963BD" w:rsidRDefault="007963BD" w:rsidP="007963BD">
            <w:pPr>
              <w:rPr>
                <w:rFonts w:eastAsia="Arial" w:cs="Arial"/>
                <w:szCs w:val="20"/>
              </w:rPr>
            </w:pPr>
            <w:r w:rsidRPr="007963BD">
              <w:rPr>
                <w:rFonts w:eastAsia="Arial" w:cs="Arial"/>
                <w:szCs w:val="20"/>
              </w:rPr>
              <w:t>Disminución de Sodio en Alimentos IAK</w:t>
            </w:r>
          </w:p>
          <w:p w14:paraId="3EC0CECE" w14:textId="5136D425" w:rsidR="007605E6" w:rsidRPr="00382A62" w:rsidRDefault="007963BD" w:rsidP="007963BD">
            <w:pPr>
              <w:rPr>
                <w:rFonts w:cs="Arial"/>
                <w:szCs w:val="20"/>
              </w:rPr>
            </w:pPr>
            <w:r w:rsidRPr="007963BD">
              <w:rPr>
                <w:rFonts w:eastAsia="Arial" w:cs="Arial"/>
                <w:szCs w:val="20"/>
              </w:rPr>
              <w:t>Para el 2023 se ha alcanzado una reducción del 12% de sal en en la receta de frijoles molidos que se traduce en una reducción del 11% en sodio.</w:t>
            </w:r>
          </w:p>
        </w:tc>
      </w:tr>
      <w:tr w:rsidR="007605E6" w:rsidRPr="00382A62" w14:paraId="2474A93F" w14:textId="77777777" w:rsidTr="007D00B2">
        <w:trPr>
          <w:cantSplit/>
          <w:jc w:val="center"/>
        </w:trPr>
        <w:tc>
          <w:tcPr>
            <w:tcW w:w="2122" w:type="dxa"/>
            <w:shd w:val="clear" w:color="auto" w:fill="F2F2F2" w:themeFill="background1" w:themeFillShade="F2"/>
            <w:vAlign w:val="center"/>
          </w:tcPr>
          <w:p w14:paraId="449A0DFF" w14:textId="77777777" w:rsidR="007605E6" w:rsidRPr="00382A62" w:rsidRDefault="007605E6" w:rsidP="007D00B2">
            <w:pPr>
              <w:jc w:val="left"/>
              <w:rPr>
                <w:rFonts w:cs="Arial"/>
                <w:b/>
                <w:bCs/>
                <w:szCs w:val="20"/>
              </w:rPr>
            </w:pPr>
            <w:r w:rsidRPr="00382A62">
              <w:rPr>
                <w:rFonts w:cs="Arial"/>
                <w:b/>
                <w:bCs/>
                <w:szCs w:val="20"/>
              </w:rPr>
              <w:t>Patrón de consumo de alcohol (Costa Rica)</w:t>
            </w:r>
          </w:p>
        </w:tc>
        <w:tc>
          <w:tcPr>
            <w:tcW w:w="7947" w:type="dxa"/>
            <w:vAlign w:val="center"/>
          </w:tcPr>
          <w:p w14:paraId="5D767508" w14:textId="6E31AA29" w:rsidR="007605E6" w:rsidRPr="00382A62" w:rsidRDefault="007605E6" w:rsidP="00480282">
            <w:pPr>
              <w:rPr>
                <w:rFonts w:cs="Arial"/>
                <w:szCs w:val="20"/>
              </w:rPr>
            </w:pPr>
            <w:r w:rsidRPr="00382A62">
              <w:rPr>
                <w:rFonts w:eastAsia="Arial" w:cs="Arial"/>
                <w:szCs w:val="20"/>
              </w:rPr>
              <w:t>5</w:t>
            </w:r>
            <w:r w:rsidR="00FB487B" w:rsidRPr="00382A62">
              <w:rPr>
                <w:rFonts w:eastAsia="Arial" w:cs="Arial"/>
                <w:szCs w:val="20"/>
              </w:rPr>
              <w:t>0</w:t>
            </w:r>
            <w:r w:rsidRPr="00382A62">
              <w:rPr>
                <w:rFonts w:eastAsia="Arial" w:cs="Arial"/>
                <w:szCs w:val="20"/>
              </w:rPr>
              <w:t xml:space="preserve">% de las personas adultas dijeron haber consumido un trago en el último año. La frecuencia de consumo </w:t>
            </w:r>
            <w:r w:rsidR="00A771D6" w:rsidRPr="00382A62">
              <w:rPr>
                <w:rFonts w:eastAsia="Arial" w:cs="Arial"/>
                <w:szCs w:val="20"/>
              </w:rPr>
              <w:t>bajo en</w:t>
            </w:r>
            <w:r w:rsidRPr="00382A62">
              <w:rPr>
                <w:rFonts w:eastAsia="Arial" w:cs="Arial"/>
                <w:szCs w:val="20"/>
              </w:rPr>
              <w:t xml:space="preserve"> un </w:t>
            </w:r>
            <w:r w:rsidR="00B016E8" w:rsidRPr="00382A62">
              <w:rPr>
                <w:rFonts w:eastAsia="Arial" w:cs="Arial"/>
                <w:szCs w:val="20"/>
              </w:rPr>
              <w:t>3</w:t>
            </w:r>
            <w:r w:rsidRPr="00382A62">
              <w:rPr>
                <w:rFonts w:eastAsia="Arial" w:cs="Arial"/>
                <w:szCs w:val="20"/>
              </w:rPr>
              <w:t>% vs el año anterior</w:t>
            </w:r>
            <w:r w:rsidR="00B016E8" w:rsidRPr="00382A62">
              <w:rPr>
                <w:rFonts w:eastAsia="Arial" w:cs="Arial"/>
                <w:szCs w:val="20"/>
              </w:rPr>
              <w:t xml:space="preserve">. </w:t>
            </w:r>
            <w:r w:rsidRPr="00382A62">
              <w:rPr>
                <w:rFonts w:eastAsia="Arial" w:cs="Arial"/>
                <w:szCs w:val="20"/>
              </w:rPr>
              <w:t xml:space="preserve">Hoy en día el consumidor promedio toma </w:t>
            </w:r>
            <w:r w:rsidR="00685F60" w:rsidRPr="00382A62">
              <w:rPr>
                <w:rFonts w:eastAsia="Arial" w:cs="Arial"/>
                <w:szCs w:val="20"/>
              </w:rPr>
              <w:t>2,24</w:t>
            </w:r>
            <w:r w:rsidR="001560B0" w:rsidRPr="00382A62">
              <w:rPr>
                <w:rFonts w:eastAsia="Arial" w:cs="Arial"/>
                <w:szCs w:val="20"/>
              </w:rPr>
              <w:t xml:space="preserve"> </w:t>
            </w:r>
            <w:r w:rsidRPr="00382A62">
              <w:rPr>
                <w:rFonts w:eastAsia="Arial" w:cs="Arial"/>
                <w:szCs w:val="20"/>
              </w:rPr>
              <w:t>días por semana</w:t>
            </w:r>
            <w:r w:rsidR="00B016E8" w:rsidRPr="00382A62">
              <w:rPr>
                <w:rFonts w:eastAsia="Arial" w:cs="Arial"/>
                <w:szCs w:val="20"/>
              </w:rPr>
              <w:t xml:space="preserve"> y </w:t>
            </w:r>
            <w:r w:rsidR="00F12F8E" w:rsidRPr="00382A62">
              <w:rPr>
                <w:rFonts w:eastAsia="Arial" w:cs="Arial"/>
                <w:szCs w:val="20"/>
              </w:rPr>
              <w:t>la cantidad de consumo por ocasión es de 6,51</w:t>
            </w:r>
          </w:p>
        </w:tc>
      </w:tr>
    </w:tbl>
    <w:p w14:paraId="4C4E0D6C" w14:textId="77777777" w:rsidR="002D739C" w:rsidRDefault="002D739C" w:rsidP="002D739C">
      <w:pPr>
        <w:pStyle w:val="Ttulo3"/>
        <w:ind w:left="716"/>
        <w:rPr>
          <w:rFonts w:cs="Arial"/>
          <w:sz w:val="20"/>
          <w:szCs w:val="20"/>
        </w:rPr>
      </w:pPr>
      <w:bookmarkStart w:id="218" w:name="_Toc131092908"/>
      <w:bookmarkStart w:id="219" w:name="_Toc131501109"/>
    </w:p>
    <w:p w14:paraId="1570A8B7" w14:textId="4D017764" w:rsidR="007605E6" w:rsidRPr="00382A62" w:rsidRDefault="007605E6" w:rsidP="00147CF2">
      <w:pPr>
        <w:pStyle w:val="Ttulo3"/>
        <w:numPr>
          <w:ilvl w:val="1"/>
          <w:numId w:val="27"/>
        </w:numPr>
        <w:rPr>
          <w:rFonts w:cs="Arial"/>
          <w:sz w:val="20"/>
          <w:szCs w:val="20"/>
        </w:rPr>
      </w:pPr>
      <w:bookmarkStart w:id="220" w:name="_Toc169624667"/>
      <w:r w:rsidRPr="00382A62">
        <w:rPr>
          <w:rFonts w:cs="Arial"/>
          <w:sz w:val="20"/>
          <w:szCs w:val="20"/>
        </w:rPr>
        <w:t>Programa de Formación Dual</w:t>
      </w:r>
      <w:bookmarkEnd w:id="218"/>
      <w:bookmarkEnd w:id="219"/>
      <w:bookmarkEnd w:id="220"/>
    </w:p>
    <w:p w14:paraId="58E45B6E" w14:textId="2D748341" w:rsidR="00F12609" w:rsidRPr="00382A62" w:rsidRDefault="00F12609" w:rsidP="00F12609">
      <w:pPr>
        <w:rPr>
          <w:rFonts w:eastAsia="Arial" w:cs="Arial"/>
          <w:szCs w:val="20"/>
        </w:rPr>
      </w:pPr>
      <w:r w:rsidRPr="00382A62">
        <w:rPr>
          <w:rFonts w:eastAsia="Arial" w:cs="Arial"/>
          <w:szCs w:val="20"/>
        </w:rPr>
        <w:t>El programa de Formación Dual en Reserva Conchal cumplió este 2023, 9 años de ejecución continua, siendo así  no de los programas más consolidados de formación dual a nivel nacional. Esta estrategia que permite a las poblaciones “aprender haciendo” duplicó la cantidad de grupos en formación, lo que permitió una matrícula de más de 50 jóvenes de distintas comunidades tanto en el programa de: Operaciones de Asistencia en Alimentos y Bebidas como en el programa “Operaciones de asistencia en la cocina”.</w:t>
      </w:r>
    </w:p>
    <w:p w14:paraId="14B8C55C" w14:textId="77777777" w:rsidR="006104B8" w:rsidRPr="00382A62" w:rsidRDefault="00F12609" w:rsidP="00F12609">
      <w:pPr>
        <w:rPr>
          <w:rFonts w:eastAsia="Arial" w:cs="Arial"/>
          <w:szCs w:val="20"/>
        </w:rPr>
      </w:pPr>
      <w:r w:rsidRPr="00382A62">
        <w:rPr>
          <w:rFonts w:eastAsia="Arial" w:cs="Arial"/>
          <w:szCs w:val="20"/>
        </w:rPr>
        <w:t>Más del 50% de los estudiantes fue contratado</w:t>
      </w:r>
      <w:r w:rsidR="009115F6" w:rsidRPr="00382A62">
        <w:rPr>
          <w:rFonts w:eastAsia="Arial" w:cs="Arial"/>
          <w:szCs w:val="20"/>
        </w:rPr>
        <w:t xml:space="preserve"> </w:t>
      </w:r>
      <w:r w:rsidRPr="00382A62">
        <w:rPr>
          <w:rFonts w:eastAsia="Arial" w:cs="Arial"/>
          <w:szCs w:val="20"/>
        </w:rPr>
        <w:t>incluso antes de finalizar su formación profesional</w:t>
      </w:r>
      <w:r w:rsidR="009115F6" w:rsidRPr="00382A62">
        <w:rPr>
          <w:rFonts w:eastAsia="Arial" w:cs="Arial"/>
          <w:szCs w:val="20"/>
        </w:rPr>
        <w:t xml:space="preserve"> </w:t>
      </w:r>
      <w:r w:rsidRPr="00382A62">
        <w:rPr>
          <w:rFonts w:eastAsia="Arial" w:cs="Arial"/>
          <w:szCs w:val="20"/>
        </w:rPr>
        <w:t>técnica, lo que mantiene a este como una fuente</w:t>
      </w:r>
      <w:r w:rsidR="006104B8" w:rsidRPr="00382A62">
        <w:rPr>
          <w:rFonts w:eastAsia="Arial" w:cs="Arial"/>
          <w:szCs w:val="20"/>
        </w:rPr>
        <w:t xml:space="preserve"> </w:t>
      </w:r>
      <w:r w:rsidRPr="00382A62">
        <w:rPr>
          <w:rFonts w:eastAsia="Arial" w:cs="Arial"/>
          <w:szCs w:val="20"/>
        </w:rPr>
        <w:t>importante de empleabilidad para el resort.</w:t>
      </w:r>
    </w:p>
    <w:p w14:paraId="4878A10D" w14:textId="0FF04C85" w:rsidR="007605E6" w:rsidRPr="00382A62" w:rsidRDefault="00290C58" w:rsidP="00F12609">
      <w:pPr>
        <w:rPr>
          <w:rFonts w:eastAsia="Arial" w:cs="Arial"/>
          <w:szCs w:val="20"/>
        </w:rPr>
      </w:pPr>
      <w:r w:rsidRPr="00382A62">
        <w:rPr>
          <w:rFonts w:eastAsia="Arial" w:cs="Arial"/>
          <w:szCs w:val="20"/>
        </w:rPr>
        <w:t xml:space="preserve">Se </w:t>
      </w:r>
      <w:r w:rsidR="003E3C53" w:rsidRPr="00382A62">
        <w:rPr>
          <w:rFonts w:eastAsia="Arial" w:cs="Arial"/>
          <w:szCs w:val="20"/>
        </w:rPr>
        <w:t>implementaron los siguientes programas:</w:t>
      </w:r>
    </w:p>
    <w:p w14:paraId="395A8896" w14:textId="3C830A38" w:rsidR="007605E6" w:rsidRPr="00382A62" w:rsidRDefault="002F2900" w:rsidP="0043515F">
      <w:pPr>
        <w:pStyle w:val="Prrafodelista"/>
        <w:numPr>
          <w:ilvl w:val="0"/>
          <w:numId w:val="49"/>
        </w:numPr>
        <w:rPr>
          <w:rFonts w:cs="Arial"/>
          <w:szCs w:val="20"/>
        </w:rPr>
      </w:pPr>
      <w:r w:rsidRPr="00382A62">
        <w:rPr>
          <w:rFonts w:eastAsia="Arial" w:cs="Arial"/>
          <w:b/>
          <w:bCs/>
          <w:szCs w:val="20"/>
        </w:rPr>
        <w:t>Educación dual en administración de puntos de venta</w:t>
      </w:r>
      <w:r w:rsidRPr="00382A62">
        <w:rPr>
          <w:rFonts w:cs="Arial"/>
          <w:szCs w:val="20"/>
        </w:rPr>
        <w:t xml:space="preserve">: Se desarrolló entre los meses de octubre del 2022 y febrero del 2023, e incluyó contenidos relacionados a los procesos administrativos y operativos de </w:t>
      </w:r>
      <w:r w:rsidRPr="00382A62">
        <w:rPr>
          <w:rFonts w:cs="Arial"/>
          <w:szCs w:val="20"/>
        </w:rPr>
        <w:lastRenderedPageBreak/>
        <w:t>un punto de venta, tales como la atención al cliente, preparación de productos, el manejo de inventarios, sumados a las competencias laborales tales como trabajo en equipo, responsabilidad, enfoque a la calidad y puntualidad, entre otros.</w:t>
      </w:r>
    </w:p>
    <w:p w14:paraId="1D4484D4" w14:textId="136B90CA" w:rsidR="00290C58" w:rsidRPr="00382A62" w:rsidRDefault="00290C58" w:rsidP="001D69C5">
      <w:pPr>
        <w:pStyle w:val="Prrafodelista"/>
        <w:numPr>
          <w:ilvl w:val="0"/>
          <w:numId w:val="49"/>
        </w:numPr>
        <w:rPr>
          <w:rFonts w:cs="Arial"/>
          <w:b/>
          <w:bCs/>
          <w:szCs w:val="20"/>
        </w:rPr>
      </w:pPr>
      <w:r w:rsidRPr="00382A62">
        <w:rPr>
          <w:rFonts w:cs="Arial"/>
          <w:b/>
          <w:bCs/>
          <w:szCs w:val="20"/>
        </w:rPr>
        <w:t>Programa educación dual en técnico en procesos productivos</w:t>
      </w:r>
      <w:r w:rsidR="003E3C53" w:rsidRPr="00382A62">
        <w:rPr>
          <w:rFonts w:cs="Arial"/>
          <w:b/>
          <w:bCs/>
          <w:szCs w:val="20"/>
        </w:rPr>
        <w:t xml:space="preserve">: </w:t>
      </w:r>
      <w:r w:rsidR="001904DD" w:rsidRPr="00382A62">
        <w:rPr>
          <w:rFonts w:cs="Arial"/>
          <w:szCs w:val="20"/>
        </w:rPr>
        <w:t>Contó con 3 módulos de aprendizaje con una duración de 683 horas de entrenamiento ejecutadas desde una metodología dual en la que los estudiantes ponen en práctica los conocimientos adquiridos en el aula en la realidad de una planta de producción</w:t>
      </w:r>
      <w:r w:rsidR="006A6DAF" w:rsidRPr="00382A62">
        <w:rPr>
          <w:rFonts w:cs="Arial"/>
          <w:szCs w:val="20"/>
        </w:rPr>
        <w:t>.</w:t>
      </w:r>
    </w:p>
    <w:p w14:paraId="771E0665" w14:textId="212DA30C" w:rsidR="006A6DAF" w:rsidRPr="00382A62" w:rsidRDefault="006A6DAF" w:rsidP="007006D8">
      <w:pPr>
        <w:pStyle w:val="Prrafodelista"/>
        <w:numPr>
          <w:ilvl w:val="0"/>
          <w:numId w:val="49"/>
        </w:numPr>
        <w:rPr>
          <w:rFonts w:cs="Arial"/>
          <w:szCs w:val="20"/>
        </w:rPr>
      </w:pPr>
      <w:r w:rsidRPr="00382A62">
        <w:rPr>
          <w:rFonts w:cs="Arial"/>
          <w:b/>
          <w:bCs/>
          <w:szCs w:val="20"/>
        </w:rPr>
        <w:t xml:space="preserve">Alianza con Universidad McGill: </w:t>
      </w:r>
      <w:r w:rsidRPr="00382A62">
        <w:rPr>
          <w:rFonts w:cs="Arial"/>
          <w:szCs w:val="20"/>
        </w:rPr>
        <w:t>Esta alianza permitió aplicar herramientas innovadoras de análisis de datos e inteligencia artificial en beneficio de proyectos relacionados a la sostenibilidad, con énfasis en esta primera etapa, en la conservación de las poblaciones de Mono Congo (Allouata palliata)</w:t>
      </w:r>
    </w:p>
    <w:p w14:paraId="74512090" w14:textId="66C36C29" w:rsidR="006A6DAF" w:rsidRPr="00382A62" w:rsidRDefault="00FB2052" w:rsidP="00162344">
      <w:pPr>
        <w:pStyle w:val="Prrafodelista"/>
        <w:numPr>
          <w:ilvl w:val="0"/>
          <w:numId w:val="49"/>
        </w:numPr>
        <w:rPr>
          <w:rFonts w:cs="Arial"/>
          <w:szCs w:val="20"/>
        </w:rPr>
      </w:pPr>
      <w:r w:rsidRPr="00382A62">
        <w:rPr>
          <w:rFonts w:cs="Arial"/>
          <w:b/>
          <w:bCs/>
          <w:szCs w:val="20"/>
        </w:rPr>
        <w:t xml:space="preserve">Programa Bilingüismo: </w:t>
      </w:r>
      <w:r w:rsidRPr="00382A62">
        <w:rPr>
          <w:rFonts w:cs="Arial"/>
          <w:szCs w:val="20"/>
        </w:rPr>
        <w:t>Se reforzó el programa de bilingüismo en alianza con CEN-CINAI y Universidad Latina, abarcando el primer CEN-CINAI del área metropolitana en La Uruca con este programa</w:t>
      </w:r>
      <w:r w:rsidR="00B522A6" w:rsidRPr="00382A62">
        <w:rPr>
          <w:rFonts w:cs="Arial"/>
          <w:szCs w:val="20"/>
        </w:rPr>
        <w:t>.</w:t>
      </w:r>
    </w:p>
    <w:p w14:paraId="04C0156B" w14:textId="77777777" w:rsidR="007605E6" w:rsidRPr="00382A62" w:rsidRDefault="007605E6" w:rsidP="00147CF2">
      <w:pPr>
        <w:pStyle w:val="Ttulo3"/>
        <w:numPr>
          <w:ilvl w:val="1"/>
          <w:numId w:val="27"/>
        </w:numPr>
        <w:rPr>
          <w:rFonts w:cs="Arial"/>
          <w:sz w:val="20"/>
          <w:szCs w:val="20"/>
        </w:rPr>
      </w:pPr>
      <w:bookmarkStart w:id="221" w:name="_Toc131092909"/>
      <w:bookmarkStart w:id="222" w:name="_Toc131501110"/>
      <w:bookmarkStart w:id="223" w:name="_Toc169624668"/>
      <w:r w:rsidRPr="00382A62">
        <w:rPr>
          <w:rFonts w:cs="Arial"/>
          <w:sz w:val="20"/>
          <w:szCs w:val="20"/>
        </w:rPr>
        <w:t>Programa de Voluntariado Elegí Ayudar</w:t>
      </w:r>
      <w:bookmarkEnd w:id="221"/>
      <w:bookmarkEnd w:id="222"/>
      <w:bookmarkEnd w:id="223"/>
    </w:p>
    <w:p w14:paraId="6C8B0139" w14:textId="77777777" w:rsidR="00651F2B" w:rsidRPr="00382A62" w:rsidRDefault="007605E6" w:rsidP="00651F2B">
      <w:pPr>
        <w:rPr>
          <w:rFonts w:eastAsia="Arial" w:cs="Arial"/>
          <w:szCs w:val="20"/>
        </w:rPr>
      </w:pPr>
      <w:r w:rsidRPr="00382A62">
        <w:rPr>
          <w:rFonts w:eastAsia="Arial" w:cs="Arial"/>
          <w:szCs w:val="20"/>
        </w:rPr>
        <w:t xml:space="preserve">El programa </w:t>
      </w:r>
      <w:r w:rsidR="00651F2B" w:rsidRPr="00382A62">
        <w:rPr>
          <w:rFonts w:eastAsia="Arial" w:cs="Arial"/>
          <w:szCs w:val="20"/>
        </w:rPr>
        <w:t>“Elegí Ayudar” es el brazo ejecutor de iniciativas sociales y ambientales de FIFCO a nivel de voluntariado. Es el mecanismo a través del cual los colaboradores viven la sostenibilidad de primera mano. Se ejecuta en Costa Rica, Guatemala y Estados Unidos.</w:t>
      </w:r>
    </w:p>
    <w:p w14:paraId="06113599" w14:textId="46E660FF" w:rsidR="00651F2B" w:rsidRPr="00382A62" w:rsidRDefault="00651F2B" w:rsidP="00651F2B">
      <w:pPr>
        <w:rPr>
          <w:rFonts w:eastAsia="Arial" w:cs="Arial"/>
          <w:szCs w:val="20"/>
        </w:rPr>
      </w:pPr>
      <w:r w:rsidRPr="00382A62">
        <w:rPr>
          <w:rFonts w:eastAsia="Arial" w:cs="Arial"/>
          <w:szCs w:val="20"/>
        </w:rPr>
        <w:t xml:space="preserve"> Este programa se gestiona en los tres países donde operamos. Con 16 años de haber sido lanzado y siendo pionero en Costa Rica y Guatemala, en el 2023 se superó el millón de horas de voluntariado gracias a los efuerzos de nuestros colaboradores, inversionistas, proveedores y consumidores. </w:t>
      </w:r>
    </w:p>
    <w:p w14:paraId="64147310" w14:textId="4979C8A7" w:rsidR="007605E6" w:rsidRPr="00382A62" w:rsidRDefault="00651F2B" w:rsidP="00651F2B">
      <w:pPr>
        <w:rPr>
          <w:rFonts w:cs="Arial"/>
          <w:szCs w:val="20"/>
        </w:rPr>
      </w:pPr>
      <w:r w:rsidRPr="00382A62">
        <w:rPr>
          <w:rFonts w:eastAsia="Arial" w:cs="Arial"/>
          <w:szCs w:val="20"/>
        </w:rPr>
        <w:t>Vamos más allá de contribuir filantrópicamente y de mitigar nuestras huellas operativas, fomentando el voluntariado en conjunto para trabajar con fines benéficos centrándonos en la inversión social en nuestras comunidades y contribuyendo a causas nacionales y globales de una forma estratégica. Esto lo hacemos a través de tres principales iniciativas que aportan a 12 de los 17 Objetivos de Desarrollo Sostenible de la ONU.</w:t>
      </w:r>
    </w:p>
    <w:p w14:paraId="4CB8AEA9" w14:textId="77777777" w:rsidR="007605E6" w:rsidRPr="00382A62" w:rsidRDefault="007605E6" w:rsidP="00147CF2">
      <w:pPr>
        <w:pStyle w:val="Ttulo3"/>
        <w:numPr>
          <w:ilvl w:val="1"/>
          <w:numId w:val="27"/>
        </w:numPr>
        <w:rPr>
          <w:rFonts w:cs="Arial"/>
          <w:sz w:val="20"/>
          <w:szCs w:val="20"/>
        </w:rPr>
      </w:pPr>
      <w:bookmarkStart w:id="224" w:name="_Toc131092911"/>
      <w:bookmarkStart w:id="225" w:name="_Toc131501112"/>
      <w:bookmarkStart w:id="226" w:name="_Toc169624669"/>
      <w:r w:rsidRPr="00382A62">
        <w:rPr>
          <w:rFonts w:cs="Arial"/>
          <w:sz w:val="20"/>
          <w:szCs w:val="20"/>
        </w:rPr>
        <w:t>Agenda de Sostenibilidad basada en la gobernanza.</w:t>
      </w:r>
      <w:bookmarkEnd w:id="224"/>
      <w:bookmarkEnd w:id="225"/>
      <w:bookmarkEnd w:id="226"/>
    </w:p>
    <w:p w14:paraId="4BCCE2CE" w14:textId="77777777" w:rsidR="006301A8" w:rsidRPr="00382A62" w:rsidRDefault="006301A8" w:rsidP="007605E6">
      <w:pPr>
        <w:rPr>
          <w:rFonts w:eastAsia="Arial" w:cs="Arial"/>
          <w:szCs w:val="20"/>
        </w:rPr>
      </w:pPr>
      <w:r w:rsidRPr="00382A62">
        <w:rPr>
          <w:rFonts w:eastAsia="Arial" w:cs="Arial"/>
          <w:szCs w:val="20"/>
        </w:rPr>
        <w:t>La gobernanza se convierte en un pilar de nuestra agenda de sostenibilidad, es la base sobre la cual se define cómo opera la empresa, establece procesos, indicadores y políticas, garantizando solidez, ética y transparencia</w:t>
      </w:r>
    </w:p>
    <w:p w14:paraId="64115F7C" w14:textId="5A215529" w:rsidR="007605E6" w:rsidRPr="00382A62" w:rsidRDefault="007605E6" w:rsidP="007605E6">
      <w:pPr>
        <w:rPr>
          <w:rFonts w:cs="Arial"/>
          <w:szCs w:val="20"/>
        </w:rPr>
      </w:pPr>
      <w:r w:rsidRPr="00382A62">
        <w:rPr>
          <w:rFonts w:eastAsia="Arial" w:cs="Arial"/>
          <w:szCs w:val="20"/>
        </w:rPr>
        <w:t>. Los siguientes son los pilares del programa:</w:t>
      </w:r>
    </w:p>
    <w:p w14:paraId="69C21473" w14:textId="371F88C8" w:rsidR="007605E6" w:rsidRPr="00382A62" w:rsidRDefault="007605E6" w:rsidP="0062750D">
      <w:pPr>
        <w:pStyle w:val="Prrafodelista"/>
        <w:numPr>
          <w:ilvl w:val="0"/>
          <w:numId w:val="43"/>
        </w:numPr>
        <w:rPr>
          <w:rFonts w:cs="Arial"/>
          <w:szCs w:val="20"/>
        </w:rPr>
      </w:pPr>
      <w:r w:rsidRPr="00382A62">
        <w:rPr>
          <w:rFonts w:cs="Arial"/>
          <w:b/>
          <w:szCs w:val="20"/>
        </w:rPr>
        <w:t>Gobierno Corporativo</w:t>
      </w:r>
      <w:r w:rsidRPr="00382A62">
        <w:rPr>
          <w:rFonts w:cs="Arial"/>
          <w:szCs w:val="20"/>
        </w:rPr>
        <w:t>: Establece el conjunto de políticas bajo las cuales se dirige y controla la compañía; se regula el accionar de la Junta Directiva, sus comités técnicos, la Administración y las Unidades de Control Interno con el fin de procurar que las decisiones sean transparentes y protejan los intereses de la empresa y sus accionistas.  La Junta Directiva cuenta con dos comités de apoyo, uno de Gestión de Capital Humano y el comité de Auditoría y Riesgos.  Bajo este último esta soportada la estructura de Control Interno</w:t>
      </w:r>
      <w:r w:rsidR="0012517C" w:rsidRPr="00382A62">
        <w:rPr>
          <w:rFonts w:cs="Arial"/>
          <w:szCs w:val="20"/>
        </w:rPr>
        <w:t>.</w:t>
      </w:r>
    </w:p>
    <w:p w14:paraId="559761A2" w14:textId="77777777" w:rsidR="007605E6" w:rsidRPr="00382A62" w:rsidRDefault="007605E6" w:rsidP="00147CF2">
      <w:pPr>
        <w:pStyle w:val="Prrafodelista"/>
        <w:numPr>
          <w:ilvl w:val="0"/>
          <w:numId w:val="43"/>
        </w:numPr>
        <w:rPr>
          <w:rFonts w:cs="Arial"/>
          <w:szCs w:val="20"/>
        </w:rPr>
      </w:pPr>
      <w:r w:rsidRPr="00382A62">
        <w:rPr>
          <w:rFonts w:cs="Arial"/>
          <w:b/>
          <w:bCs/>
          <w:szCs w:val="20"/>
        </w:rPr>
        <w:lastRenderedPageBreak/>
        <w:t>Gestión de Riesgos</w:t>
      </w:r>
      <w:r w:rsidRPr="00382A62">
        <w:rPr>
          <w:rFonts w:cs="Arial"/>
          <w:b/>
          <w:szCs w:val="20"/>
        </w:rPr>
        <w:t>:</w:t>
      </w:r>
      <w:r w:rsidRPr="00382A62">
        <w:rPr>
          <w:rFonts w:cs="Arial"/>
          <w:szCs w:val="20"/>
        </w:rPr>
        <w:t xml:space="preserve"> Su fin es garantizar el alcance de los objetivos definidos en la compañía, a la vez que se protejan los recursos de los inversionistas. Procura la viabilidad financiera apoyando la eficiencia de la operación, mitiga los efectos negativos cuando se presenta un incidente de riesgo y permite optimizar las fuentes de fondeo disponibles. </w:t>
      </w:r>
    </w:p>
    <w:p w14:paraId="5F8222F6" w14:textId="1CA21EE9" w:rsidR="008B3006" w:rsidRPr="00382A62" w:rsidRDefault="00137BDA" w:rsidP="00137BDA">
      <w:pPr>
        <w:pStyle w:val="Prrafodelista"/>
        <w:rPr>
          <w:rFonts w:cs="Arial"/>
          <w:szCs w:val="20"/>
        </w:rPr>
      </w:pPr>
      <w:r w:rsidRPr="00382A62">
        <w:rPr>
          <w:rFonts w:cs="Arial"/>
          <w:szCs w:val="20"/>
        </w:rPr>
        <w:t>El 2023 la Junta Directiva aprobó una nueva versión de la Política Corporativa de Riesgos (el primer lineamiento data de 2017). Establece que la compañía asumirá un perfil de riesgo conservador, el cual descansa en las siguientes pautas básicas de administración</w:t>
      </w:r>
      <w:r w:rsidR="008B3006" w:rsidRPr="00382A62">
        <w:rPr>
          <w:rFonts w:cs="Arial"/>
          <w:szCs w:val="20"/>
        </w:rPr>
        <w:t>:</w:t>
      </w:r>
    </w:p>
    <w:p w14:paraId="53D2AA9C" w14:textId="3511B5FE" w:rsidR="00E836F5" w:rsidRPr="00382A62" w:rsidRDefault="008B3006" w:rsidP="0030524D">
      <w:pPr>
        <w:pStyle w:val="Prrafodelista"/>
        <w:numPr>
          <w:ilvl w:val="0"/>
          <w:numId w:val="56"/>
        </w:numPr>
        <w:autoSpaceDE w:val="0"/>
        <w:autoSpaceDN w:val="0"/>
        <w:adjustRightInd w:val="0"/>
        <w:spacing w:after="0" w:line="240" w:lineRule="auto"/>
        <w:jc w:val="left"/>
        <w:rPr>
          <w:rFonts w:cs="Arial"/>
          <w:szCs w:val="20"/>
        </w:rPr>
      </w:pPr>
      <w:r w:rsidRPr="00382A62">
        <w:rPr>
          <w:rFonts w:cs="Arial"/>
          <w:szCs w:val="20"/>
        </w:rPr>
        <w:t xml:space="preserve">Papel de la Junta Directiva y </w:t>
      </w:r>
      <w:r w:rsidR="00E836F5" w:rsidRPr="00382A62">
        <w:rPr>
          <w:rFonts w:cs="Arial"/>
          <w:szCs w:val="20"/>
        </w:rPr>
        <w:t>el Comité</w:t>
      </w:r>
      <w:r w:rsidRPr="00382A62">
        <w:rPr>
          <w:rFonts w:cs="Arial"/>
          <w:szCs w:val="20"/>
        </w:rPr>
        <w:t xml:space="preserve"> de Auditoría y Riesgos.</w:t>
      </w:r>
    </w:p>
    <w:p w14:paraId="6C2EC0E4" w14:textId="31B6FB47" w:rsidR="00123A2A" w:rsidRPr="00382A62" w:rsidRDefault="00123A2A" w:rsidP="0030524D">
      <w:pPr>
        <w:pStyle w:val="Prrafodelista"/>
        <w:numPr>
          <w:ilvl w:val="0"/>
          <w:numId w:val="56"/>
        </w:numPr>
        <w:autoSpaceDE w:val="0"/>
        <w:autoSpaceDN w:val="0"/>
        <w:adjustRightInd w:val="0"/>
        <w:spacing w:after="0" w:line="240" w:lineRule="auto"/>
        <w:jc w:val="left"/>
        <w:rPr>
          <w:rFonts w:cs="Arial"/>
          <w:szCs w:val="20"/>
        </w:rPr>
      </w:pPr>
      <w:r w:rsidRPr="00382A62">
        <w:rPr>
          <w:rFonts w:cs="Arial"/>
          <w:szCs w:val="20"/>
        </w:rPr>
        <w:t>Funciones de la Gerencia de Riesgos</w:t>
      </w:r>
    </w:p>
    <w:p w14:paraId="5B176951" w14:textId="0FC450F5" w:rsidR="00123A2A" w:rsidRPr="00382A62" w:rsidRDefault="00123A2A" w:rsidP="00DD65EF">
      <w:pPr>
        <w:pStyle w:val="Prrafodelista"/>
        <w:numPr>
          <w:ilvl w:val="0"/>
          <w:numId w:val="56"/>
        </w:numPr>
        <w:autoSpaceDE w:val="0"/>
        <w:autoSpaceDN w:val="0"/>
        <w:adjustRightInd w:val="0"/>
        <w:spacing w:after="0" w:line="240" w:lineRule="auto"/>
        <w:jc w:val="left"/>
        <w:rPr>
          <w:rFonts w:cs="Arial"/>
          <w:szCs w:val="20"/>
        </w:rPr>
      </w:pPr>
      <w:r w:rsidRPr="00382A62">
        <w:rPr>
          <w:rFonts w:cs="Arial"/>
          <w:szCs w:val="20"/>
        </w:rPr>
        <w:t>Parámetros para administrar el portafolio de deuda e inversiones y utilizar oberturas financieras</w:t>
      </w:r>
    </w:p>
    <w:p w14:paraId="4F74247C" w14:textId="77777777" w:rsidR="00EF1C9C" w:rsidRPr="00382A62" w:rsidRDefault="00E836F5" w:rsidP="00EF1C9C">
      <w:pPr>
        <w:pStyle w:val="Prrafodelista"/>
        <w:numPr>
          <w:ilvl w:val="0"/>
          <w:numId w:val="56"/>
        </w:numPr>
        <w:autoSpaceDE w:val="0"/>
        <w:autoSpaceDN w:val="0"/>
        <w:adjustRightInd w:val="0"/>
        <w:spacing w:after="0" w:line="240" w:lineRule="auto"/>
        <w:jc w:val="left"/>
        <w:rPr>
          <w:rFonts w:cs="Arial"/>
          <w:szCs w:val="20"/>
        </w:rPr>
      </w:pPr>
      <w:r w:rsidRPr="00382A62">
        <w:rPr>
          <w:rFonts w:cs="Arial"/>
          <w:szCs w:val="20"/>
        </w:rPr>
        <w:t>Modelo de gestión de riesgo no financiero y continuidad del negocio.</w:t>
      </w:r>
    </w:p>
    <w:p w14:paraId="1EB778DC" w14:textId="77777777" w:rsidR="00EF1C9C" w:rsidRPr="00382A62" w:rsidRDefault="00EF1C9C" w:rsidP="00EF1C9C">
      <w:pPr>
        <w:pStyle w:val="Prrafodelista"/>
        <w:autoSpaceDE w:val="0"/>
        <w:autoSpaceDN w:val="0"/>
        <w:adjustRightInd w:val="0"/>
        <w:spacing w:after="0" w:line="240" w:lineRule="auto"/>
        <w:ind w:left="1440"/>
        <w:jc w:val="left"/>
        <w:rPr>
          <w:rFonts w:cs="Arial"/>
          <w:szCs w:val="20"/>
        </w:rPr>
      </w:pPr>
    </w:p>
    <w:p w14:paraId="367DEAA6" w14:textId="01426B80" w:rsidR="00EF1C9C" w:rsidRPr="00382A62" w:rsidRDefault="00EF1C9C" w:rsidP="00622AB9">
      <w:pPr>
        <w:pStyle w:val="Prrafodelista"/>
        <w:rPr>
          <w:rFonts w:cs="Arial"/>
          <w:szCs w:val="20"/>
        </w:rPr>
      </w:pPr>
      <w:r w:rsidRPr="00382A62">
        <w:rPr>
          <w:rFonts w:cs="Arial"/>
          <w:szCs w:val="20"/>
        </w:rPr>
        <w:t>Nuestros avances en 2023 Los esfuerzos de riesgo se enfocaron en trabajar tanto en planta cerveza como en planta refrescos (se cuenta con un plan de expansión estratégico para los siguientes procesos o sites que se debe ejecutar en los siguientes años). Como parte de nuestro alineamiento al modelo ESG, el concepto de riesgos lo hemos ido evolucionando a un modelo de GRC (gobernanza, riesgos y cumplimiento) y todo el proceso de gestión del cambio ha girado en torno a este concepto.</w:t>
      </w:r>
    </w:p>
    <w:p w14:paraId="0EBC9F49" w14:textId="77777777" w:rsidR="00E836F5" w:rsidRPr="00382A62" w:rsidRDefault="00E836F5" w:rsidP="00E836F5">
      <w:pPr>
        <w:pStyle w:val="Prrafodelista"/>
        <w:autoSpaceDE w:val="0"/>
        <w:autoSpaceDN w:val="0"/>
        <w:adjustRightInd w:val="0"/>
        <w:spacing w:after="0" w:line="240" w:lineRule="auto"/>
        <w:ind w:left="1440"/>
        <w:jc w:val="left"/>
        <w:rPr>
          <w:rFonts w:cs="Arial"/>
          <w:szCs w:val="20"/>
        </w:rPr>
      </w:pPr>
    </w:p>
    <w:p w14:paraId="0A6BEB45" w14:textId="545A006A" w:rsidR="007605E6" w:rsidRPr="00382A62" w:rsidRDefault="007605E6" w:rsidP="0031205C">
      <w:pPr>
        <w:pStyle w:val="Prrafodelista"/>
        <w:numPr>
          <w:ilvl w:val="0"/>
          <w:numId w:val="43"/>
        </w:numPr>
        <w:rPr>
          <w:rFonts w:cs="Arial"/>
          <w:szCs w:val="20"/>
        </w:rPr>
      </w:pPr>
      <w:r w:rsidRPr="0031205C">
        <w:rPr>
          <w:rFonts w:cs="Arial"/>
          <w:b/>
          <w:bCs/>
          <w:szCs w:val="20"/>
        </w:rPr>
        <w:t xml:space="preserve">Ciberseguridad: </w:t>
      </w:r>
      <w:r w:rsidR="00603A00" w:rsidRPr="0031205C">
        <w:rPr>
          <w:rFonts w:cs="Arial"/>
          <w:szCs w:val="20"/>
        </w:rPr>
        <w:t>En 2023 con el nacimiento de Escudo Colectivo dimos un paso significativo en el fortalecimiento de la seguridad digital con la introducción de una nueva política y lineamientos de ciberseguridad. Las nuevas políticas de ciberseguridad de FIFCO establecen un estándar estricto para proteger la información en línea. Al hacer un involucramiento integral, nos aseguramos de que cada parte asuma la responsabilidad de proteger la integridad de la cadena digital. En un contexto de amenazas cibernéticas crecientes, esta iniciativa es crucial. Implementamos nuevos controles y brindamos nuevas capacidades de protección. La meta es la excelencia y ya hemos recorrido un largo tramo en este trayecto, cada persona en nuestra organización se convierte en un valioso contribuyente para alcanzar la cumbre de</w:t>
      </w:r>
      <w:r w:rsidR="0031205C">
        <w:rPr>
          <w:rFonts w:cs="Arial"/>
          <w:szCs w:val="20"/>
        </w:rPr>
        <w:t xml:space="preserve"> </w:t>
      </w:r>
      <w:r w:rsidR="00603A00" w:rsidRPr="0031205C">
        <w:rPr>
          <w:rFonts w:cs="Arial"/>
          <w:szCs w:val="20"/>
        </w:rPr>
        <w:t xml:space="preserve">la seguridad </w:t>
      </w:r>
    </w:p>
    <w:p w14:paraId="07E0A13D" w14:textId="303AF842" w:rsidR="00D21FFE" w:rsidRPr="00382A62" w:rsidRDefault="007605E6" w:rsidP="004A7BB1">
      <w:pPr>
        <w:pStyle w:val="Prrafodelista"/>
        <w:numPr>
          <w:ilvl w:val="0"/>
          <w:numId w:val="43"/>
        </w:numPr>
        <w:rPr>
          <w:rFonts w:cs="Arial"/>
          <w:szCs w:val="20"/>
        </w:rPr>
      </w:pPr>
      <w:r w:rsidRPr="00382A62">
        <w:rPr>
          <w:rFonts w:cs="Arial"/>
          <w:b/>
          <w:bCs/>
          <w:szCs w:val="20"/>
        </w:rPr>
        <w:t>Estrategia Climática</w:t>
      </w:r>
      <w:r w:rsidRPr="00382A62">
        <w:rPr>
          <w:rFonts w:cs="Arial"/>
          <w:szCs w:val="20"/>
        </w:rPr>
        <w:t xml:space="preserve">: Desde la adopción del modelo de triple utilidad y producto del compromiso carbono positivo, FIFCO ha venido trabajando en la mitigación de las emisiones que las operaciones generan en la atmósfera y que son reconocidos como los gases de efecto invernadero que generan el cambio climático.  </w:t>
      </w:r>
      <w:r w:rsidR="00EE566C" w:rsidRPr="00382A62">
        <w:rPr>
          <w:rFonts w:cs="Arial"/>
          <w:szCs w:val="20"/>
        </w:rPr>
        <w:t xml:space="preserve">A partir del 2022 se integró el componente de mitigación dentro de la estrategia, considerando la perspectiva de gestión; durante el 2023 se agregaron los elementos de -la acción climática </w:t>
      </w:r>
      <w:r w:rsidR="00D21FFE" w:rsidRPr="00382A62">
        <w:rPr>
          <w:rFonts w:cs="Arial"/>
          <w:szCs w:val="20"/>
        </w:rPr>
        <w:t>en la política ambiental corporativa en la política ambiental corporativa, robusteciendo la estrategia para</w:t>
      </w:r>
      <w:r w:rsidR="007943E2" w:rsidRPr="00382A62">
        <w:rPr>
          <w:rFonts w:cs="Arial"/>
          <w:szCs w:val="20"/>
        </w:rPr>
        <w:t xml:space="preserve"> </w:t>
      </w:r>
      <w:r w:rsidR="00D21FFE" w:rsidRPr="00382A62">
        <w:rPr>
          <w:rFonts w:cs="Arial"/>
          <w:szCs w:val="20"/>
        </w:rPr>
        <w:t>abordar y administrar de manera</w:t>
      </w:r>
      <w:r w:rsidR="007943E2" w:rsidRPr="00382A62">
        <w:rPr>
          <w:rFonts w:cs="Arial"/>
          <w:szCs w:val="20"/>
        </w:rPr>
        <w:t xml:space="preserve"> </w:t>
      </w:r>
      <w:r w:rsidR="00D21FFE" w:rsidRPr="00382A62">
        <w:rPr>
          <w:rFonts w:cs="Arial"/>
          <w:szCs w:val="20"/>
        </w:rPr>
        <w:t>sistemática los riesgos climáticos.</w:t>
      </w:r>
      <w:r w:rsidR="007943E2" w:rsidRPr="00382A62">
        <w:rPr>
          <w:rFonts w:cs="Arial"/>
          <w:szCs w:val="20"/>
        </w:rPr>
        <w:t xml:space="preserve"> </w:t>
      </w:r>
      <w:r w:rsidR="00D21FFE" w:rsidRPr="00382A62">
        <w:rPr>
          <w:rFonts w:cs="Arial"/>
          <w:szCs w:val="20"/>
        </w:rPr>
        <w:t>De este enfoque de política y estrategia</w:t>
      </w:r>
      <w:r w:rsidR="007943E2" w:rsidRPr="00382A62">
        <w:rPr>
          <w:rFonts w:cs="Arial"/>
          <w:szCs w:val="20"/>
        </w:rPr>
        <w:t xml:space="preserve"> </w:t>
      </w:r>
      <w:r w:rsidR="00D21FFE" w:rsidRPr="00382A62">
        <w:rPr>
          <w:rFonts w:cs="Arial"/>
          <w:szCs w:val="20"/>
        </w:rPr>
        <w:t>de acción climática, se derivan</w:t>
      </w:r>
      <w:r w:rsidR="007943E2" w:rsidRPr="00382A62">
        <w:rPr>
          <w:rFonts w:cs="Arial"/>
          <w:szCs w:val="20"/>
        </w:rPr>
        <w:t xml:space="preserve"> </w:t>
      </w:r>
      <w:r w:rsidR="00D21FFE" w:rsidRPr="00382A62">
        <w:rPr>
          <w:rFonts w:cs="Arial"/>
          <w:szCs w:val="20"/>
        </w:rPr>
        <w:t>los planes, programas y proyectos</w:t>
      </w:r>
      <w:r w:rsidR="007943E2" w:rsidRPr="00382A62">
        <w:rPr>
          <w:rFonts w:cs="Arial"/>
          <w:szCs w:val="20"/>
        </w:rPr>
        <w:t xml:space="preserve"> </w:t>
      </w:r>
      <w:r w:rsidR="00D21FFE" w:rsidRPr="00382A62">
        <w:rPr>
          <w:rFonts w:cs="Arial"/>
          <w:szCs w:val="20"/>
        </w:rPr>
        <w:t>enfocados en alcanzar la condición de</w:t>
      </w:r>
      <w:r w:rsidR="007943E2" w:rsidRPr="00382A62">
        <w:rPr>
          <w:rFonts w:cs="Arial"/>
          <w:szCs w:val="20"/>
        </w:rPr>
        <w:t xml:space="preserve"> </w:t>
      </w:r>
      <w:r w:rsidR="00D21FFE" w:rsidRPr="00382A62">
        <w:rPr>
          <w:rFonts w:cs="Arial"/>
          <w:szCs w:val="20"/>
        </w:rPr>
        <w:t>resiliencia climática requerida para</w:t>
      </w:r>
      <w:r w:rsidR="007943E2" w:rsidRPr="00382A62">
        <w:rPr>
          <w:rFonts w:cs="Arial"/>
          <w:szCs w:val="20"/>
        </w:rPr>
        <w:t xml:space="preserve"> </w:t>
      </w:r>
      <w:r w:rsidR="00D21FFE" w:rsidRPr="00382A62">
        <w:rPr>
          <w:rFonts w:cs="Arial"/>
          <w:szCs w:val="20"/>
        </w:rPr>
        <w:t>la continuidad de las operaciones de</w:t>
      </w:r>
      <w:r w:rsidR="007943E2" w:rsidRPr="00382A62">
        <w:rPr>
          <w:rFonts w:cs="Arial"/>
          <w:szCs w:val="20"/>
        </w:rPr>
        <w:t xml:space="preserve"> </w:t>
      </w:r>
      <w:r w:rsidR="00D21FFE" w:rsidRPr="00382A62">
        <w:rPr>
          <w:rFonts w:cs="Arial"/>
          <w:szCs w:val="20"/>
        </w:rPr>
        <w:t>FIFCO.</w:t>
      </w:r>
    </w:p>
    <w:p w14:paraId="10927003" w14:textId="7F76DFE2" w:rsidR="007605E6" w:rsidRPr="00382A62" w:rsidRDefault="007605E6" w:rsidP="00DB6958">
      <w:pPr>
        <w:pStyle w:val="Prrafodelista"/>
        <w:numPr>
          <w:ilvl w:val="0"/>
          <w:numId w:val="43"/>
        </w:numPr>
        <w:rPr>
          <w:rFonts w:cs="Arial"/>
          <w:szCs w:val="20"/>
        </w:rPr>
      </w:pPr>
      <w:r w:rsidRPr="00382A62">
        <w:rPr>
          <w:rFonts w:cs="Arial"/>
          <w:b/>
          <w:bCs/>
          <w:szCs w:val="20"/>
        </w:rPr>
        <w:t>Continuidad del negocio</w:t>
      </w:r>
      <w:r w:rsidRPr="00382A62">
        <w:rPr>
          <w:rFonts w:cs="Arial"/>
          <w:szCs w:val="20"/>
        </w:rPr>
        <w:t xml:space="preserve">: </w:t>
      </w:r>
      <w:r w:rsidR="001031DE" w:rsidRPr="00382A62">
        <w:rPr>
          <w:rFonts w:cs="Arial"/>
          <w:szCs w:val="20"/>
        </w:rPr>
        <w:t xml:space="preserve">En el 2023, se logró la certificación ISO 22301 (Continuidad del Negocio) en Planta Cerveza de Costa Rica. </w:t>
      </w:r>
      <w:r w:rsidR="006A6A0D" w:rsidRPr="00382A62">
        <w:rPr>
          <w:rFonts w:cs="Arial"/>
          <w:szCs w:val="20"/>
        </w:rPr>
        <w:t xml:space="preserve">Con esta distinción la compañía asegura que cuenta con un proceso que minimiza el impacto de cualquier evento disruptivo en los activos, servicios y productos, medio ambiente, </w:t>
      </w:r>
      <w:r w:rsidR="006A6A0D" w:rsidRPr="00382A62">
        <w:rPr>
          <w:rFonts w:cs="Arial"/>
          <w:szCs w:val="20"/>
        </w:rPr>
        <w:lastRenderedPageBreak/>
        <w:t>comunidad y otras partes interesadas. El mismo se basa en un esquema de mejora continua y se fundamenta en los siguientes pilares:</w:t>
      </w:r>
    </w:p>
    <w:p w14:paraId="5093EB96" w14:textId="1B84CB7B" w:rsidR="006A6A0D" w:rsidRPr="00382A62" w:rsidRDefault="008106FD" w:rsidP="00A11B9A">
      <w:pPr>
        <w:pStyle w:val="Prrafodelista"/>
        <w:numPr>
          <w:ilvl w:val="2"/>
          <w:numId w:val="43"/>
        </w:numPr>
        <w:rPr>
          <w:rFonts w:cs="Arial"/>
          <w:szCs w:val="20"/>
        </w:rPr>
      </w:pPr>
      <w:r w:rsidRPr="00382A62">
        <w:rPr>
          <w:rFonts w:cs="Arial"/>
          <w:szCs w:val="20"/>
        </w:rPr>
        <w:t>Una política con los lineamientos a seguir antes, durante y después de una interrupción del negocio para asegurar una respuesta adecuada a la materialización de un riesgo.</w:t>
      </w:r>
    </w:p>
    <w:p w14:paraId="3159937F" w14:textId="585F5168" w:rsidR="008106FD" w:rsidRPr="00382A62" w:rsidRDefault="008106FD" w:rsidP="00BC78D3">
      <w:pPr>
        <w:pStyle w:val="Prrafodelista"/>
        <w:numPr>
          <w:ilvl w:val="2"/>
          <w:numId w:val="43"/>
        </w:numPr>
        <w:rPr>
          <w:rFonts w:cs="Arial"/>
          <w:szCs w:val="20"/>
        </w:rPr>
      </w:pPr>
      <w:r w:rsidRPr="00382A62">
        <w:rPr>
          <w:rFonts w:cs="Arial"/>
          <w:szCs w:val="20"/>
        </w:rPr>
        <w:t>Planes documentados e implementados: Continuidad del Negocio, Gestión de Crisis, Respuesta y recuperación ante Emergencias y Plan de Recuperación Tecnológica.</w:t>
      </w:r>
    </w:p>
    <w:p w14:paraId="61AFC23A" w14:textId="2CA8D31C" w:rsidR="008106FD" w:rsidRPr="00382A62" w:rsidRDefault="004C5E86" w:rsidP="003D56F1">
      <w:pPr>
        <w:pStyle w:val="Prrafodelista"/>
        <w:numPr>
          <w:ilvl w:val="2"/>
          <w:numId w:val="43"/>
        </w:numPr>
        <w:rPr>
          <w:rFonts w:cs="Arial"/>
          <w:szCs w:val="20"/>
        </w:rPr>
      </w:pPr>
      <w:r w:rsidRPr="00382A62">
        <w:rPr>
          <w:rFonts w:cs="Arial"/>
          <w:szCs w:val="20"/>
        </w:rPr>
        <w:t>Una estructura organizacional que le brinda gobernanza a este proceso, por medio de los siguientes comités: Continuidad y Crisis, Emergencias y Recuperación Tecnológica.</w:t>
      </w:r>
    </w:p>
    <w:p w14:paraId="14AF8190" w14:textId="13588B09" w:rsidR="004C5E86" w:rsidRPr="00382A62" w:rsidRDefault="004C5E86" w:rsidP="00A72C04">
      <w:pPr>
        <w:pStyle w:val="Prrafodelista"/>
        <w:numPr>
          <w:ilvl w:val="2"/>
          <w:numId w:val="43"/>
        </w:numPr>
        <w:rPr>
          <w:rFonts w:cs="Arial"/>
          <w:szCs w:val="20"/>
        </w:rPr>
      </w:pPr>
      <w:r w:rsidRPr="00382A62">
        <w:rPr>
          <w:rFonts w:cs="Arial"/>
          <w:szCs w:val="20"/>
        </w:rPr>
        <w:t>Revisión periódica de los análisis de riesgo e impacto de negocio para los procesos en la cadena productiva asociada a cerveza en Costa Rica.</w:t>
      </w:r>
    </w:p>
    <w:p w14:paraId="159ECDEF" w14:textId="1F18D9C5" w:rsidR="008A4815" w:rsidRPr="00382A62" w:rsidRDefault="008A4815" w:rsidP="000D0479">
      <w:pPr>
        <w:pStyle w:val="Prrafodelista"/>
        <w:numPr>
          <w:ilvl w:val="2"/>
          <w:numId w:val="43"/>
        </w:numPr>
        <w:rPr>
          <w:rFonts w:cs="Arial"/>
          <w:szCs w:val="20"/>
        </w:rPr>
      </w:pPr>
      <w:r w:rsidRPr="00382A62">
        <w:rPr>
          <w:rFonts w:cs="Arial"/>
          <w:szCs w:val="20"/>
        </w:rPr>
        <w:t>Un Plan de pruebas que considera ejercicios de simulación para las estrategias de continuidad y planes</w:t>
      </w:r>
    </w:p>
    <w:p w14:paraId="05A31F60" w14:textId="30E4DFAF" w:rsidR="008A4815" w:rsidRPr="00382A62" w:rsidRDefault="007B309A" w:rsidP="00FA6374">
      <w:pPr>
        <w:pStyle w:val="Prrafodelista"/>
        <w:numPr>
          <w:ilvl w:val="2"/>
          <w:numId w:val="43"/>
        </w:numPr>
        <w:rPr>
          <w:rFonts w:cs="Arial"/>
          <w:szCs w:val="20"/>
        </w:rPr>
      </w:pPr>
      <w:r w:rsidRPr="00382A62">
        <w:rPr>
          <w:rFonts w:cs="Arial"/>
          <w:szCs w:val="20"/>
        </w:rPr>
        <w:t>Una herramienta tecnológica para el control y registro de la información del sistema de gestión y un proceso de gestión de cambio bajo el lema “FIFCO no para”.</w:t>
      </w:r>
    </w:p>
    <w:p w14:paraId="7E2F8373" w14:textId="14367BC2" w:rsidR="007B309A" w:rsidRPr="00382A62" w:rsidRDefault="007B309A" w:rsidP="001444DB">
      <w:pPr>
        <w:pStyle w:val="Prrafodelista"/>
        <w:numPr>
          <w:ilvl w:val="2"/>
          <w:numId w:val="43"/>
        </w:numPr>
        <w:rPr>
          <w:rFonts w:cs="Arial"/>
          <w:szCs w:val="20"/>
        </w:rPr>
      </w:pPr>
      <w:r w:rsidRPr="00382A62">
        <w:rPr>
          <w:rFonts w:cs="Arial"/>
          <w:szCs w:val="20"/>
        </w:rPr>
        <w:t>Diseño del mapa de procesos y de los respectivos procedimientos.</w:t>
      </w:r>
    </w:p>
    <w:p w14:paraId="0B3F8EA6" w14:textId="4A25683C" w:rsidR="007B309A" w:rsidRPr="00382A62" w:rsidRDefault="008A0CE5" w:rsidP="00780220">
      <w:pPr>
        <w:pStyle w:val="Prrafodelista"/>
        <w:numPr>
          <w:ilvl w:val="2"/>
          <w:numId w:val="43"/>
        </w:numPr>
        <w:rPr>
          <w:rFonts w:cs="Arial"/>
          <w:szCs w:val="20"/>
        </w:rPr>
      </w:pPr>
      <w:r w:rsidRPr="00382A62">
        <w:rPr>
          <w:rFonts w:cs="Arial"/>
          <w:szCs w:val="20"/>
        </w:rPr>
        <w:t>Elaboración del mapeo de riesgos y del análisis del impacto de negocio.</w:t>
      </w:r>
    </w:p>
    <w:p w14:paraId="1D615F2C" w14:textId="3BD53618" w:rsidR="008A0CE5" w:rsidRPr="00382A62" w:rsidRDefault="008A0CE5" w:rsidP="00364695">
      <w:pPr>
        <w:pStyle w:val="Prrafodelista"/>
        <w:numPr>
          <w:ilvl w:val="2"/>
          <w:numId w:val="43"/>
        </w:numPr>
        <w:rPr>
          <w:rFonts w:cs="Arial"/>
          <w:szCs w:val="20"/>
        </w:rPr>
      </w:pPr>
      <w:r w:rsidRPr="00382A62">
        <w:rPr>
          <w:rFonts w:cs="Arial"/>
          <w:szCs w:val="20"/>
        </w:rPr>
        <w:t>Diseño de estrategias de continuidad.</w:t>
      </w:r>
    </w:p>
    <w:p w14:paraId="5CDFE70C" w14:textId="77777777" w:rsidR="007605E6" w:rsidRPr="00382A62" w:rsidRDefault="007605E6" w:rsidP="00147CF2">
      <w:pPr>
        <w:pStyle w:val="Prrafodelista"/>
        <w:numPr>
          <w:ilvl w:val="0"/>
          <w:numId w:val="43"/>
        </w:numPr>
        <w:rPr>
          <w:rFonts w:cs="Arial"/>
          <w:szCs w:val="20"/>
        </w:rPr>
      </w:pPr>
      <w:r w:rsidRPr="00382A62">
        <w:rPr>
          <w:rFonts w:cs="Arial"/>
          <w:b/>
          <w:szCs w:val="20"/>
        </w:rPr>
        <w:t>Trasparencia en impuestos</w:t>
      </w:r>
      <w:r w:rsidRPr="00382A62">
        <w:rPr>
          <w:rFonts w:cs="Arial"/>
          <w:szCs w:val="20"/>
        </w:rPr>
        <w:t>:  La transparencia es un pilar fundamental en FIFCO, dar claridad sobre las responsabilidades tributarias es parte de su estrategia de Triple Utilidad y su compromiso con sus accionistas y demás públicos de interés.</w:t>
      </w:r>
    </w:p>
    <w:p w14:paraId="14AFADE6" w14:textId="4001B497" w:rsidR="007605E6" w:rsidRPr="00382A62" w:rsidRDefault="007605E6" w:rsidP="007605E6">
      <w:pPr>
        <w:pStyle w:val="Prrafodelista"/>
        <w:rPr>
          <w:rFonts w:cs="Arial"/>
          <w:szCs w:val="20"/>
          <w:highlight w:val="yellow"/>
        </w:rPr>
      </w:pPr>
      <w:r w:rsidRPr="00382A62">
        <w:rPr>
          <w:rFonts w:cs="Arial"/>
          <w:szCs w:val="20"/>
        </w:rPr>
        <w:t>Durante el 202</w:t>
      </w:r>
      <w:r w:rsidR="00D87226" w:rsidRPr="00382A62">
        <w:rPr>
          <w:rFonts w:cs="Arial"/>
          <w:szCs w:val="20"/>
        </w:rPr>
        <w:t>3</w:t>
      </w:r>
      <w:r w:rsidRPr="00382A62">
        <w:rPr>
          <w:rFonts w:cs="Arial"/>
          <w:szCs w:val="20"/>
        </w:rPr>
        <w:t xml:space="preserve"> se continúa trabajando bajo los estándares GRI 207</w:t>
      </w:r>
      <w:r w:rsidR="006C6B52" w:rsidRPr="00382A62">
        <w:rPr>
          <w:rFonts w:cs="Arial"/>
          <w:szCs w:val="20"/>
        </w:rPr>
        <w:t xml:space="preserve">, </w:t>
      </w:r>
      <w:r w:rsidRPr="00382A62">
        <w:rPr>
          <w:rFonts w:cs="Arial"/>
          <w:szCs w:val="20"/>
        </w:rPr>
        <w:t xml:space="preserve">Fiscalidad (Tax) 2019. </w:t>
      </w:r>
    </w:p>
    <w:p w14:paraId="32AF11AB" w14:textId="71537882" w:rsidR="007605E6" w:rsidRPr="00382A62" w:rsidRDefault="007605E6" w:rsidP="007605E6">
      <w:pPr>
        <w:pStyle w:val="Prrafodelista"/>
        <w:rPr>
          <w:rFonts w:cs="Arial"/>
          <w:szCs w:val="20"/>
        </w:rPr>
      </w:pPr>
      <w:r w:rsidRPr="00382A62">
        <w:rPr>
          <w:rFonts w:cs="Arial"/>
          <w:szCs w:val="20"/>
        </w:rPr>
        <w:t>La gestión fiscal se construye sobre fundamentos que de forma pública FIFCO comunica, tales como: (i) Declarar y pagar lo correcto en tiempo y forma</w:t>
      </w:r>
      <w:r w:rsidR="006C6B52" w:rsidRPr="00382A62">
        <w:rPr>
          <w:rFonts w:cs="Arial"/>
          <w:szCs w:val="20"/>
        </w:rPr>
        <w:t>,</w:t>
      </w:r>
      <w:r w:rsidRPr="00382A62">
        <w:rPr>
          <w:rFonts w:cs="Arial"/>
          <w:szCs w:val="20"/>
        </w:rPr>
        <w:t xml:space="preserve"> (ii) Actuar con transparencia y colaboración ante las autoridades fiscales</w:t>
      </w:r>
      <w:r w:rsidR="006C6B52" w:rsidRPr="00382A62">
        <w:rPr>
          <w:rFonts w:cs="Arial"/>
          <w:szCs w:val="20"/>
        </w:rPr>
        <w:t>,</w:t>
      </w:r>
      <w:r w:rsidRPr="00382A62">
        <w:rPr>
          <w:rFonts w:cs="Arial"/>
          <w:szCs w:val="20"/>
        </w:rPr>
        <w:t xml:space="preserve"> (iii) Operar bajo una delegación de autoridad competente</w:t>
      </w:r>
      <w:r w:rsidR="006C6B52" w:rsidRPr="00382A62">
        <w:rPr>
          <w:rFonts w:cs="Arial"/>
          <w:szCs w:val="20"/>
        </w:rPr>
        <w:t>,</w:t>
      </w:r>
      <w:r w:rsidRPr="00382A62">
        <w:rPr>
          <w:rFonts w:cs="Arial"/>
          <w:szCs w:val="20"/>
        </w:rPr>
        <w:t xml:space="preserve"> (iv) Estimular la actualización constante en áreas de transcendencia fiscal</w:t>
      </w:r>
      <w:r w:rsidR="006C6B52" w:rsidRPr="00382A62">
        <w:rPr>
          <w:rFonts w:cs="Arial"/>
          <w:szCs w:val="20"/>
        </w:rPr>
        <w:t>,</w:t>
      </w:r>
      <w:r w:rsidRPr="00382A62">
        <w:rPr>
          <w:rFonts w:cs="Arial"/>
          <w:szCs w:val="20"/>
        </w:rPr>
        <w:t xml:space="preserve"> (v) Operar bajo un ambiente de control permanente con auditorías internas y externas.</w:t>
      </w:r>
    </w:p>
    <w:p w14:paraId="0145A10C" w14:textId="77777777" w:rsidR="007605E6" w:rsidRPr="00382A62" w:rsidRDefault="007605E6" w:rsidP="00147CF2">
      <w:pPr>
        <w:pStyle w:val="Ttulo3"/>
        <w:numPr>
          <w:ilvl w:val="1"/>
          <w:numId w:val="27"/>
        </w:numPr>
        <w:rPr>
          <w:rFonts w:cs="Arial"/>
          <w:sz w:val="20"/>
          <w:szCs w:val="20"/>
        </w:rPr>
      </w:pPr>
      <w:bookmarkStart w:id="227" w:name="_Toc131092912"/>
      <w:bookmarkStart w:id="228" w:name="_Toc131501113"/>
      <w:bookmarkStart w:id="229" w:name="_Toc169624670"/>
      <w:r w:rsidRPr="00382A62">
        <w:rPr>
          <w:rFonts w:cs="Arial"/>
          <w:sz w:val="20"/>
          <w:szCs w:val="20"/>
        </w:rPr>
        <w:t>Ética y Transparencia</w:t>
      </w:r>
      <w:bookmarkEnd w:id="227"/>
      <w:bookmarkEnd w:id="228"/>
      <w:bookmarkEnd w:id="229"/>
    </w:p>
    <w:p w14:paraId="673FE741" w14:textId="77777777" w:rsidR="007605E6" w:rsidRPr="00382A62" w:rsidRDefault="007605E6" w:rsidP="007605E6">
      <w:pPr>
        <w:rPr>
          <w:rFonts w:cs="Arial"/>
          <w:szCs w:val="20"/>
        </w:rPr>
      </w:pPr>
      <w:r w:rsidRPr="00382A62">
        <w:rPr>
          <w:rFonts w:cs="Arial"/>
          <w:szCs w:val="20"/>
        </w:rPr>
        <w:t>La ética y transparencia son pilares fundamentales y transversales de la operación de FIFCO. En cada acción proyecto y relación, permea la integridad y honestidad.</w:t>
      </w:r>
    </w:p>
    <w:p w14:paraId="199794AA" w14:textId="50B6667B" w:rsidR="007605E6" w:rsidRPr="00382A62" w:rsidRDefault="007605E6" w:rsidP="007605E6">
      <w:pPr>
        <w:rPr>
          <w:rFonts w:cs="Arial"/>
          <w:szCs w:val="20"/>
        </w:rPr>
      </w:pPr>
      <w:r w:rsidRPr="00382A62">
        <w:rPr>
          <w:rFonts w:cs="Arial"/>
          <w:szCs w:val="20"/>
        </w:rPr>
        <w:t>El Código de Ética y Conducta Comercial de Negocios aborda el tema de forma contundente</w:t>
      </w:r>
      <w:r w:rsidR="006C6B52" w:rsidRPr="00382A62">
        <w:rPr>
          <w:rFonts w:cs="Arial"/>
          <w:szCs w:val="20"/>
        </w:rPr>
        <w:t>,</w:t>
      </w:r>
      <w:r w:rsidRPr="00382A62">
        <w:rPr>
          <w:rFonts w:cs="Arial"/>
          <w:szCs w:val="20"/>
        </w:rPr>
        <w:t xml:space="preserve"> al especificar cuáles son aquellos comportamientos esperados en los colaboradores</w:t>
      </w:r>
      <w:r w:rsidR="006C6B52" w:rsidRPr="00382A62">
        <w:rPr>
          <w:rFonts w:cs="Arial"/>
          <w:szCs w:val="20"/>
        </w:rPr>
        <w:t>,</w:t>
      </w:r>
      <w:r w:rsidRPr="00382A62">
        <w:rPr>
          <w:rFonts w:cs="Arial"/>
          <w:szCs w:val="20"/>
        </w:rPr>
        <w:t xml:space="preserve"> mecanismos de denuncia y reclamación existentes</w:t>
      </w:r>
      <w:r w:rsidR="00FB3E29" w:rsidRPr="00382A62">
        <w:rPr>
          <w:rFonts w:cs="Arial"/>
          <w:szCs w:val="20"/>
        </w:rPr>
        <w:t>,</w:t>
      </w:r>
      <w:r w:rsidRPr="00382A62">
        <w:rPr>
          <w:rFonts w:cs="Arial"/>
          <w:szCs w:val="20"/>
        </w:rPr>
        <w:t xml:space="preserve"> así como el tratamiento dado a temas de corrupción.</w:t>
      </w:r>
    </w:p>
    <w:p w14:paraId="672EF9D9" w14:textId="77777777" w:rsidR="007605E6" w:rsidRPr="00382A62" w:rsidRDefault="007605E6" w:rsidP="007605E6">
      <w:pPr>
        <w:rPr>
          <w:rFonts w:cs="Arial"/>
          <w:szCs w:val="20"/>
        </w:rPr>
      </w:pPr>
      <w:r w:rsidRPr="00382A62">
        <w:rPr>
          <w:rFonts w:cs="Arial"/>
          <w:szCs w:val="20"/>
        </w:rPr>
        <w:t>De acuerdo con las políticas y procedimientos para luchar contra la corrupción, se realiza una capacitación sobre el Código de Ética de la Compañía a los colaboradores y proveedores, lo cuales deben firmar la correspondiente documentación de entendimiento y compromiso de cumplimiento.</w:t>
      </w:r>
    </w:p>
    <w:p w14:paraId="1033ED99" w14:textId="77777777" w:rsidR="007605E6" w:rsidRPr="00382A62" w:rsidRDefault="007605E6" w:rsidP="007605E6">
      <w:pPr>
        <w:rPr>
          <w:rFonts w:cs="Arial"/>
          <w:szCs w:val="20"/>
        </w:rPr>
      </w:pPr>
      <w:r w:rsidRPr="00382A62">
        <w:rPr>
          <w:rFonts w:cs="Arial"/>
          <w:szCs w:val="20"/>
        </w:rPr>
        <w:lastRenderedPageBreak/>
        <w:t>Con respecto a las consultas o llamadas, éstas se transcriben y se dirigen al Departamento de Ética y Cumplimiento, donde se les da el seguimiento correspondiente en un lapso máximo de 30 días. En ocasiones, las consultas se remiten al área de Talento, cuando es competencia de dicha área tales como las relacionadas a Clima Organizacional.</w:t>
      </w:r>
    </w:p>
    <w:p w14:paraId="332ED269" w14:textId="470EE282" w:rsidR="007605E6" w:rsidRPr="00382A62" w:rsidRDefault="007605E6" w:rsidP="007605E6">
      <w:pPr>
        <w:rPr>
          <w:rFonts w:eastAsia="Arial" w:cs="Arial"/>
          <w:szCs w:val="20"/>
        </w:rPr>
      </w:pPr>
      <w:r w:rsidRPr="00382A62">
        <w:rPr>
          <w:rFonts w:eastAsia="Arial" w:cs="Arial"/>
          <w:szCs w:val="20"/>
        </w:rPr>
        <w:t>FIFCO, es respetuosa de la legalidad de los países donde opera. Por lo cual constantemente efectúa capacitaciones que ayuden a su personal a entender y respetar las normas que regulan su actuar. Distribuidora La Florida S.A. está especialmente comprometida con el cumplimiento de las reglas que regulan la competencia sana en el mercado costarricense.</w:t>
      </w:r>
      <w:r w:rsidR="00712BD0" w:rsidRPr="00382A62">
        <w:rPr>
          <w:rFonts w:cs="Arial"/>
          <w:szCs w:val="20"/>
        </w:rPr>
        <w:t xml:space="preserve"> </w:t>
      </w:r>
      <w:r w:rsidR="00712BD0" w:rsidRPr="00382A62">
        <w:rPr>
          <w:rFonts w:eastAsia="Arial" w:cs="Arial"/>
          <w:szCs w:val="20"/>
        </w:rPr>
        <w:t>Durante el periodo 2023 en coordinación con el área de Comunicaciones y por medio de FIFCO NEWS se hizo un refrescamiento en Costa Rica, Guatemala, El Salvador y México de los canales de denuncia disponibles y una guía para establecer los diferentes tipos de denuncias.</w:t>
      </w:r>
    </w:p>
    <w:p w14:paraId="264AD918" w14:textId="77777777" w:rsidR="007605E6" w:rsidRPr="00382A62" w:rsidRDefault="007605E6" w:rsidP="00147CF2">
      <w:pPr>
        <w:pStyle w:val="Ttulo2"/>
        <w:numPr>
          <w:ilvl w:val="0"/>
          <w:numId w:val="27"/>
        </w:numPr>
        <w:rPr>
          <w:rFonts w:cs="Arial"/>
          <w:sz w:val="20"/>
          <w:szCs w:val="20"/>
        </w:rPr>
      </w:pPr>
      <w:bookmarkStart w:id="230" w:name="_Toc131092913"/>
      <w:bookmarkStart w:id="231" w:name="_Toc131501114"/>
      <w:bookmarkStart w:id="232" w:name="_Toc169624671"/>
      <w:r w:rsidRPr="00382A62">
        <w:rPr>
          <w:rFonts w:cs="Arial"/>
          <w:sz w:val="20"/>
          <w:szCs w:val="20"/>
        </w:rPr>
        <w:t>Resultados de Operación - Dimensión Ambiental</w:t>
      </w:r>
      <w:bookmarkEnd w:id="230"/>
      <w:bookmarkEnd w:id="231"/>
      <w:bookmarkEnd w:id="232"/>
    </w:p>
    <w:p w14:paraId="15B167CC" w14:textId="77777777" w:rsidR="007605E6" w:rsidRPr="00382A62" w:rsidRDefault="007605E6" w:rsidP="007605E6">
      <w:pPr>
        <w:rPr>
          <w:rFonts w:cs="Arial"/>
          <w:szCs w:val="20"/>
        </w:rPr>
      </w:pPr>
      <w:r w:rsidRPr="00382A62">
        <w:rPr>
          <w:rFonts w:eastAsia="Arial" w:cs="Arial"/>
          <w:szCs w:val="20"/>
        </w:rPr>
        <w:t xml:space="preserve">Como parte de la nueva estrategia Ambiental, Social y Gobernanza (ESG por sus siglas en inglés) al 2025, FIFCO estableció una ruta clara para convertir a la organización en un referente de la gestión ambiental. La agenda de trabajo respalda el actuar de la compañía y garantiza la continuidad del negocio. FIFCO estableció las metas uno, dos y tres a impulsar temas relevantes de la agenda ambiental de la compañía. Entre los temas que la compañía ha identificado como prioritarios, según su análisis de materialidad y su estrategia al 2025 destacan el recurso hídrico, el manejo de residuos, la energía y emisiones. </w:t>
      </w:r>
    </w:p>
    <w:p w14:paraId="51E7A8DE" w14:textId="77777777" w:rsidR="007605E6" w:rsidRPr="00382A62" w:rsidRDefault="007605E6" w:rsidP="007605E6">
      <w:pPr>
        <w:rPr>
          <w:rFonts w:cs="Arial"/>
          <w:szCs w:val="20"/>
        </w:rPr>
      </w:pPr>
      <w:r w:rsidRPr="00382A62">
        <w:rPr>
          <w:rFonts w:cs="Arial"/>
          <w:szCs w:val="20"/>
        </w:rPr>
        <w:t>Los objetivos estratégicos en ESG se definen en 5 categorías: Materias Primas, Agua Positiva, Envases, Carbono Positivo y Residuos.</w:t>
      </w:r>
    </w:p>
    <w:p w14:paraId="3F46297C" w14:textId="77777777" w:rsidR="007605E6" w:rsidRPr="00382A62" w:rsidRDefault="007605E6" w:rsidP="00147CF2">
      <w:pPr>
        <w:pStyle w:val="Ttulo3"/>
        <w:numPr>
          <w:ilvl w:val="1"/>
          <w:numId w:val="27"/>
        </w:numPr>
        <w:rPr>
          <w:rFonts w:cs="Arial"/>
          <w:sz w:val="20"/>
          <w:szCs w:val="20"/>
        </w:rPr>
      </w:pPr>
      <w:bookmarkStart w:id="233" w:name="_Toc131092914"/>
      <w:bookmarkStart w:id="234" w:name="_Toc131501115"/>
      <w:bookmarkStart w:id="235" w:name="_Toc169624672"/>
      <w:r w:rsidRPr="00382A62">
        <w:rPr>
          <w:rFonts w:cs="Arial"/>
          <w:sz w:val="20"/>
          <w:szCs w:val="20"/>
        </w:rPr>
        <w:t>Uso de materiales</w:t>
      </w:r>
      <w:bookmarkEnd w:id="233"/>
      <w:bookmarkEnd w:id="234"/>
      <w:bookmarkEnd w:id="235"/>
    </w:p>
    <w:p w14:paraId="7D52E052" w14:textId="77777777" w:rsidR="001A44EA" w:rsidRPr="00382A62" w:rsidRDefault="007605E6" w:rsidP="001A44EA">
      <w:pPr>
        <w:rPr>
          <w:rFonts w:eastAsia="Arial" w:cs="Arial"/>
          <w:szCs w:val="20"/>
        </w:rPr>
      </w:pPr>
      <w:r w:rsidRPr="00382A62">
        <w:rPr>
          <w:rFonts w:eastAsia="Arial" w:cs="Arial"/>
          <w:szCs w:val="20"/>
        </w:rPr>
        <w:t>FIFCO mantiene su compromiso de hacer un uso racional de todos los recursos que se utilizan en sus operaciones, basándose en un enfoque sistémico de economía circular, donde se estudia el flujo de materiales utilizados en la elaboración de sus productos, con el objetivo de aprovechar su valor real y evitar así la extracción y dependencia de materiales vírgenes.</w:t>
      </w:r>
      <w:bookmarkStart w:id="236" w:name="_Toc131092915"/>
      <w:bookmarkStart w:id="237" w:name="_Toc131501116"/>
    </w:p>
    <w:p w14:paraId="12659922" w14:textId="77777777" w:rsidR="001A44EA" w:rsidRPr="00382A62" w:rsidRDefault="001A44EA" w:rsidP="001A44EA">
      <w:pPr>
        <w:rPr>
          <w:rFonts w:cs="Arial"/>
          <w:szCs w:val="20"/>
        </w:rPr>
      </w:pPr>
      <w:r w:rsidRPr="00382A62">
        <w:rPr>
          <w:rFonts w:cs="Arial"/>
          <w:szCs w:val="20"/>
        </w:rPr>
        <w:t xml:space="preserve">Los principios base de la economía circular están </w:t>
      </w:r>
      <w:r w:rsidR="004957B9" w:rsidRPr="00382A62">
        <w:rPr>
          <w:rFonts w:cs="Arial"/>
          <w:szCs w:val="20"/>
        </w:rPr>
        <w:t>incorporados dentro de su cadena de valor:</w:t>
      </w:r>
    </w:p>
    <w:p w14:paraId="5957A4B8" w14:textId="5E4D9703" w:rsidR="001A44EA" w:rsidRPr="00382A62" w:rsidRDefault="004957B9" w:rsidP="001A44EA">
      <w:pPr>
        <w:pStyle w:val="Prrafodelista"/>
        <w:numPr>
          <w:ilvl w:val="0"/>
          <w:numId w:val="51"/>
        </w:numPr>
        <w:rPr>
          <w:rFonts w:cs="Arial"/>
          <w:szCs w:val="20"/>
        </w:rPr>
      </w:pPr>
      <w:r w:rsidRPr="00382A62">
        <w:rPr>
          <w:rFonts w:cs="Arial"/>
          <w:szCs w:val="20"/>
        </w:rPr>
        <w:t>Eliminar residuos desde el diseño.</w:t>
      </w:r>
    </w:p>
    <w:p w14:paraId="472CE8AA" w14:textId="77777777" w:rsidR="001A44EA" w:rsidRPr="00382A62" w:rsidRDefault="004957B9" w:rsidP="001A44EA">
      <w:pPr>
        <w:pStyle w:val="Prrafodelista"/>
        <w:numPr>
          <w:ilvl w:val="0"/>
          <w:numId w:val="51"/>
        </w:numPr>
        <w:rPr>
          <w:rFonts w:cs="Arial"/>
          <w:szCs w:val="20"/>
        </w:rPr>
      </w:pPr>
      <w:r w:rsidRPr="00382A62">
        <w:rPr>
          <w:rFonts w:cs="Arial"/>
          <w:szCs w:val="20"/>
        </w:rPr>
        <w:t>Mantener los residuos y la energía en circulación.</w:t>
      </w:r>
    </w:p>
    <w:p w14:paraId="3E857A5B" w14:textId="77777777" w:rsidR="005738FD" w:rsidRPr="00382A62" w:rsidRDefault="004957B9" w:rsidP="001A44EA">
      <w:pPr>
        <w:pStyle w:val="Prrafodelista"/>
        <w:numPr>
          <w:ilvl w:val="0"/>
          <w:numId w:val="51"/>
        </w:numPr>
        <w:rPr>
          <w:rFonts w:cs="Arial"/>
          <w:szCs w:val="20"/>
        </w:rPr>
      </w:pPr>
      <w:r w:rsidRPr="00382A62">
        <w:rPr>
          <w:rFonts w:cs="Arial"/>
          <w:szCs w:val="20"/>
        </w:rPr>
        <w:t xml:space="preserve">Regeneración de sistemas </w:t>
      </w:r>
      <w:r w:rsidR="001A44EA" w:rsidRPr="00382A62">
        <w:rPr>
          <w:rFonts w:cs="Arial"/>
          <w:szCs w:val="20"/>
        </w:rPr>
        <w:t xml:space="preserve">naturales </w:t>
      </w:r>
    </w:p>
    <w:p w14:paraId="006477A1" w14:textId="77777777" w:rsidR="005735A0" w:rsidRPr="00382A62" w:rsidRDefault="005735A0" w:rsidP="005738FD">
      <w:pPr>
        <w:pStyle w:val="Ttulo3"/>
        <w:numPr>
          <w:ilvl w:val="1"/>
          <w:numId w:val="27"/>
        </w:numPr>
        <w:rPr>
          <w:rFonts w:cs="Arial"/>
          <w:sz w:val="20"/>
          <w:szCs w:val="20"/>
        </w:rPr>
      </w:pPr>
      <w:bookmarkStart w:id="238" w:name="_Toc169624673"/>
      <w:r w:rsidRPr="00382A62">
        <w:rPr>
          <w:rFonts w:cs="Arial"/>
          <w:sz w:val="20"/>
          <w:szCs w:val="20"/>
        </w:rPr>
        <w:t>FIFCO Circular</w:t>
      </w:r>
      <w:bookmarkEnd w:id="238"/>
    </w:p>
    <w:p w14:paraId="75B42421" w14:textId="77777777" w:rsidR="00C0168B" w:rsidRPr="00382A62" w:rsidRDefault="007C6D62" w:rsidP="007C6D62">
      <w:pPr>
        <w:rPr>
          <w:rFonts w:cs="Arial"/>
          <w:szCs w:val="20"/>
        </w:rPr>
      </w:pPr>
      <w:r w:rsidRPr="00382A62">
        <w:rPr>
          <w:rFonts w:cs="Arial"/>
          <w:szCs w:val="20"/>
        </w:rPr>
        <w:t xml:space="preserve">Este enfoque tiene un impacto positivo sobre la presión de los ecosistemas y genera oportunidades económicas, mejorando la eficiencia en la gestión de los recursos, a través de la innovación y competitividad. </w:t>
      </w:r>
    </w:p>
    <w:p w14:paraId="6002121D" w14:textId="77777777" w:rsidR="00C0168B" w:rsidRPr="00382A62" w:rsidRDefault="007C6D62" w:rsidP="007C6D62">
      <w:pPr>
        <w:rPr>
          <w:rFonts w:cs="Arial"/>
          <w:szCs w:val="20"/>
        </w:rPr>
      </w:pPr>
      <w:r w:rsidRPr="00382A62">
        <w:rPr>
          <w:rFonts w:cs="Arial"/>
          <w:szCs w:val="20"/>
        </w:rPr>
        <w:t xml:space="preserve">Se mide el grado de circularidad y su potencial de mejora, mediante el indicador de circularidad de material (ICM), desarrollado por la Fundación Ellen MacArthur y Granta Design </w:t>
      </w:r>
    </w:p>
    <w:p w14:paraId="11C80A91" w14:textId="1ADB0957" w:rsidR="007C6D62" w:rsidRPr="00382A62" w:rsidRDefault="007C6D62" w:rsidP="007C6D62">
      <w:pPr>
        <w:rPr>
          <w:rFonts w:cs="Arial"/>
          <w:szCs w:val="20"/>
        </w:rPr>
      </w:pPr>
      <w:r w:rsidRPr="00382A62">
        <w:rPr>
          <w:rFonts w:cs="Arial"/>
          <w:szCs w:val="20"/>
        </w:rPr>
        <w:lastRenderedPageBreak/>
        <w:t>Este indicador evalúa la circularidad de los flujos de los materiales y productos, considerando el origen de los elementos, su durabilidad, el destino y la eficiencia de su transformación. Se busca comprender la transición de los principales productos, al pasar de un modelo lineal a uno circular, brindando un dato medible y comparable en el tiempo para responder a la pregunta: ¿Qué tan circular es FIFCO?</w:t>
      </w:r>
    </w:p>
    <w:p w14:paraId="3195976F" w14:textId="2CF62FE2" w:rsidR="005735A0" w:rsidRPr="00382A62" w:rsidRDefault="00395690" w:rsidP="005735A0">
      <w:pPr>
        <w:rPr>
          <w:rFonts w:cs="Arial"/>
          <w:szCs w:val="20"/>
        </w:rPr>
      </w:pPr>
      <w:r w:rsidRPr="00382A62">
        <w:rPr>
          <w:rFonts w:cs="Arial"/>
          <w:szCs w:val="20"/>
        </w:rPr>
        <w:t>La medición realizada en 2023 cerró en 61%, alcanzando así la meta número 3 planteada a 2027 “Mejorar nuestro índice de circularidad”. El reto hacia los próximos años es mantener la constancia en la implementación de buenas prácticas con el objetivo de continuar aumentando el indicador.</w:t>
      </w:r>
    </w:p>
    <w:p w14:paraId="762328E6" w14:textId="3D202A21" w:rsidR="007605E6" w:rsidRPr="00382A62" w:rsidRDefault="001A44EA" w:rsidP="005738FD">
      <w:pPr>
        <w:pStyle w:val="Ttulo3"/>
        <w:numPr>
          <w:ilvl w:val="1"/>
          <w:numId w:val="27"/>
        </w:numPr>
        <w:rPr>
          <w:rFonts w:cs="Arial"/>
          <w:sz w:val="20"/>
          <w:szCs w:val="20"/>
        </w:rPr>
      </w:pPr>
      <w:bookmarkStart w:id="239" w:name="_Toc169624674"/>
      <w:r w:rsidRPr="00382A62">
        <w:rPr>
          <w:rFonts w:cs="Arial"/>
          <w:sz w:val="20"/>
          <w:szCs w:val="20"/>
        </w:rPr>
        <w:t>Desechos</w:t>
      </w:r>
      <w:r w:rsidR="007605E6" w:rsidRPr="00382A62">
        <w:rPr>
          <w:rFonts w:cs="Arial"/>
          <w:sz w:val="20"/>
          <w:szCs w:val="20"/>
        </w:rPr>
        <w:t xml:space="preserve"> Post </w:t>
      </w:r>
      <w:bookmarkEnd w:id="236"/>
      <w:bookmarkEnd w:id="237"/>
      <w:r w:rsidR="00BB2FBD" w:rsidRPr="00382A62">
        <w:rPr>
          <w:rFonts w:cs="Arial"/>
          <w:sz w:val="20"/>
          <w:szCs w:val="20"/>
        </w:rPr>
        <w:t>Consumo</w:t>
      </w:r>
      <w:bookmarkEnd w:id="239"/>
    </w:p>
    <w:p w14:paraId="10F39025" w14:textId="6A9F6A0C" w:rsidR="00141C73" w:rsidRPr="00382A62" w:rsidRDefault="00141C73" w:rsidP="00141C73">
      <w:pPr>
        <w:rPr>
          <w:rFonts w:eastAsia="Arial" w:cs="Arial"/>
          <w:szCs w:val="20"/>
        </w:rPr>
      </w:pPr>
      <w:r w:rsidRPr="00382A62">
        <w:rPr>
          <w:rFonts w:eastAsia="Arial" w:cs="Arial"/>
          <w:szCs w:val="20"/>
        </w:rPr>
        <w:t>El programa es considerado uno de las más exitosos en Costa Rica y esto es gracias al gran trabajo en equipo que realiza toda la compañía, iniciando con la junta directiva, que orienta la estrategia en la dimensión ambiental, la dirección que dispone</w:t>
      </w:r>
      <w:r w:rsidR="00EB3805" w:rsidRPr="00382A62">
        <w:rPr>
          <w:rFonts w:eastAsia="Arial" w:cs="Arial"/>
          <w:szCs w:val="20"/>
        </w:rPr>
        <w:t xml:space="preserve"> </w:t>
      </w:r>
      <w:r w:rsidRPr="00382A62">
        <w:rPr>
          <w:rFonts w:eastAsia="Arial" w:cs="Arial"/>
          <w:szCs w:val="20"/>
        </w:rPr>
        <w:t>los recursos necesarios para seguir</w:t>
      </w:r>
      <w:r w:rsidR="00EB3805" w:rsidRPr="00382A62">
        <w:rPr>
          <w:rFonts w:eastAsia="Arial" w:cs="Arial"/>
          <w:szCs w:val="20"/>
        </w:rPr>
        <w:t xml:space="preserve"> </w:t>
      </w:r>
      <w:r w:rsidRPr="00382A62">
        <w:rPr>
          <w:rFonts w:eastAsia="Arial" w:cs="Arial"/>
          <w:szCs w:val="20"/>
        </w:rPr>
        <w:t>con la estrategia, la gerencia al</w:t>
      </w:r>
      <w:r w:rsidR="00EB3805" w:rsidRPr="00382A62">
        <w:rPr>
          <w:rFonts w:eastAsia="Arial" w:cs="Arial"/>
          <w:szCs w:val="20"/>
        </w:rPr>
        <w:t xml:space="preserve"> </w:t>
      </w:r>
      <w:r w:rsidRPr="00382A62">
        <w:rPr>
          <w:rFonts w:eastAsia="Arial" w:cs="Arial"/>
          <w:szCs w:val="20"/>
        </w:rPr>
        <w:t>redoblar esfuerzos para cumplir con</w:t>
      </w:r>
      <w:r w:rsidR="00EB3805" w:rsidRPr="00382A62">
        <w:rPr>
          <w:rFonts w:eastAsia="Arial" w:cs="Arial"/>
          <w:szCs w:val="20"/>
        </w:rPr>
        <w:t xml:space="preserve"> </w:t>
      </w:r>
      <w:r w:rsidRPr="00382A62">
        <w:rPr>
          <w:rFonts w:eastAsia="Arial" w:cs="Arial"/>
          <w:szCs w:val="20"/>
        </w:rPr>
        <w:t>los objetivos establecidos y el personal</w:t>
      </w:r>
      <w:r w:rsidR="00EB3805" w:rsidRPr="00382A62">
        <w:rPr>
          <w:rFonts w:eastAsia="Arial" w:cs="Arial"/>
          <w:szCs w:val="20"/>
        </w:rPr>
        <w:t xml:space="preserve"> </w:t>
      </w:r>
      <w:r w:rsidRPr="00382A62">
        <w:rPr>
          <w:rFonts w:eastAsia="Arial" w:cs="Arial"/>
          <w:szCs w:val="20"/>
        </w:rPr>
        <w:t>operativo, quienes están al frente de “la</w:t>
      </w:r>
      <w:r w:rsidR="00EB3805" w:rsidRPr="00382A62">
        <w:rPr>
          <w:rFonts w:eastAsia="Arial" w:cs="Arial"/>
          <w:szCs w:val="20"/>
        </w:rPr>
        <w:t xml:space="preserve"> </w:t>
      </w:r>
      <w:r w:rsidRPr="00382A62">
        <w:rPr>
          <w:rFonts w:eastAsia="Arial" w:cs="Arial"/>
          <w:szCs w:val="20"/>
        </w:rPr>
        <w:t>batalla”.</w:t>
      </w:r>
    </w:p>
    <w:p w14:paraId="3F4D3C74" w14:textId="15FD1087" w:rsidR="00F96C98" w:rsidRPr="00382A62" w:rsidRDefault="00141C73" w:rsidP="00141C73">
      <w:pPr>
        <w:rPr>
          <w:rFonts w:eastAsia="Arial" w:cs="Arial"/>
          <w:szCs w:val="20"/>
        </w:rPr>
      </w:pPr>
      <w:r w:rsidRPr="00382A62">
        <w:rPr>
          <w:rFonts w:eastAsia="Arial" w:cs="Arial"/>
          <w:szCs w:val="20"/>
        </w:rPr>
        <w:t>Adicionalmente, hay un</w:t>
      </w:r>
      <w:r w:rsidR="00EB3805" w:rsidRPr="00382A62">
        <w:rPr>
          <w:rFonts w:eastAsia="Arial" w:cs="Arial"/>
          <w:szCs w:val="20"/>
        </w:rPr>
        <w:t xml:space="preserve"> </w:t>
      </w:r>
      <w:r w:rsidRPr="00382A62">
        <w:rPr>
          <w:rFonts w:eastAsia="Arial" w:cs="Arial"/>
          <w:szCs w:val="20"/>
        </w:rPr>
        <w:t>departamento exclusivo que</w:t>
      </w:r>
      <w:r w:rsidR="00EB3805" w:rsidRPr="00382A62">
        <w:rPr>
          <w:rFonts w:eastAsia="Arial" w:cs="Arial"/>
          <w:szCs w:val="20"/>
        </w:rPr>
        <w:t xml:space="preserve"> </w:t>
      </w:r>
      <w:r w:rsidRPr="00382A62">
        <w:rPr>
          <w:rFonts w:eastAsia="Arial" w:cs="Arial"/>
          <w:szCs w:val="20"/>
        </w:rPr>
        <w:t>se dedica a buscar soluciones</w:t>
      </w:r>
      <w:r w:rsidR="00EB3805" w:rsidRPr="00382A62">
        <w:rPr>
          <w:rFonts w:eastAsia="Arial" w:cs="Arial"/>
          <w:szCs w:val="20"/>
        </w:rPr>
        <w:t xml:space="preserve"> </w:t>
      </w:r>
      <w:r w:rsidRPr="00382A62">
        <w:rPr>
          <w:rFonts w:eastAsia="Arial" w:cs="Arial"/>
          <w:szCs w:val="20"/>
        </w:rPr>
        <w:t>innovadoras, planificar y ejecutar</w:t>
      </w:r>
      <w:r w:rsidR="00EB3805" w:rsidRPr="00382A62">
        <w:rPr>
          <w:rFonts w:eastAsia="Arial" w:cs="Arial"/>
          <w:szCs w:val="20"/>
        </w:rPr>
        <w:t xml:space="preserve"> </w:t>
      </w:r>
      <w:r w:rsidRPr="00382A62">
        <w:rPr>
          <w:rFonts w:eastAsia="Arial" w:cs="Arial"/>
          <w:szCs w:val="20"/>
        </w:rPr>
        <w:t>acciones de mejora continua de los</w:t>
      </w:r>
      <w:r w:rsidR="00F96C98" w:rsidRPr="00382A62">
        <w:rPr>
          <w:rFonts w:eastAsia="Arial" w:cs="Arial"/>
          <w:szCs w:val="20"/>
        </w:rPr>
        <w:t xml:space="preserve"> </w:t>
      </w:r>
      <w:r w:rsidRPr="00382A62">
        <w:rPr>
          <w:rFonts w:eastAsia="Arial" w:cs="Arial"/>
          <w:szCs w:val="20"/>
        </w:rPr>
        <w:t>procesos de recolección</w:t>
      </w:r>
      <w:r w:rsidR="00BB2FBD" w:rsidRPr="00382A62">
        <w:rPr>
          <w:rFonts w:eastAsia="Arial" w:cs="Arial"/>
          <w:szCs w:val="20"/>
        </w:rPr>
        <w:t>.</w:t>
      </w:r>
    </w:p>
    <w:p w14:paraId="63CCD064" w14:textId="781DA50E" w:rsidR="00BB2FBD" w:rsidRPr="00382A62" w:rsidRDefault="003C335F" w:rsidP="00C61AC9">
      <w:pPr>
        <w:rPr>
          <w:rFonts w:eastAsia="Arial" w:cs="Arial"/>
          <w:szCs w:val="20"/>
        </w:rPr>
      </w:pPr>
      <w:r w:rsidRPr="00382A62">
        <w:rPr>
          <w:rFonts w:eastAsia="Arial" w:cs="Arial"/>
          <w:szCs w:val="20"/>
        </w:rPr>
        <w:t>E</w:t>
      </w:r>
      <w:r w:rsidR="0004716C" w:rsidRPr="00382A62">
        <w:rPr>
          <w:rFonts w:eastAsia="Arial" w:cs="Arial"/>
          <w:szCs w:val="20"/>
        </w:rPr>
        <w:t>l</w:t>
      </w:r>
      <w:r w:rsidRPr="00382A62">
        <w:rPr>
          <w:rFonts w:eastAsia="Arial" w:cs="Arial"/>
          <w:szCs w:val="20"/>
        </w:rPr>
        <w:t xml:space="preserve"> </w:t>
      </w:r>
      <w:r w:rsidR="00C61AC9" w:rsidRPr="00382A62">
        <w:rPr>
          <w:rFonts w:eastAsia="Arial" w:cs="Arial"/>
          <w:szCs w:val="20"/>
        </w:rPr>
        <w:t>Programa</w:t>
      </w:r>
      <w:r w:rsidRPr="00382A62">
        <w:rPr>
          <w:rFonts w:eastAsia="Arial" w:cs="Arial"/>
          <w:szCs w:val="20"/>
        </w:rPr>
        <w:t xml:space="preserve"> </w:t>
      </w:r>
      <w:r w:rsidR="00C61AC9" w:rsidRPr="00382A62">
        <w:rPr>
          <w:rFonts w:eastAsia="Arial" w:cs="Arial"/>
          <w:szCs w:val="20"/>
        </w:rPr>
        <w:t xml:space="preserve">de Reciclaje de Envases </w:t>
      </w:r>
      <w:r w:rsidR="00235F20" w:rsidRPr="00382A62">
        <w:rPr>
          <w:rFonts w:eastAsia="Arial" w:cs="Arial"/>
          <w:szCs w:val="20"/>
        </w:rPr>
        <w:t>Post Consumo</w:t>
      </w:r>
      <w:r w:rsidR="00C61AC9" w:rsidRPr="00382A62">
        <w:rPr>
          <w:rFonts w:eastAsia="Arial" w:cs="Arial"/>
          <w:szCs w:val="20"/>
        </w:rPr>
        <w:t xml:space="preserve"> de FIFCO en </w:t>
      </w:r>
      <w:r w:rsidR="00235F20" w:rsidRPr="00382A62">
        <w:rPr>
          <w:rFonts w:eastAsia="Arial" w:cs="Arial"/>
          <w:szCs w:val="20"/>
        </w:rPr>
        <w:t xml:space="preserve">el </w:t>
      </w:r>
      <w:r w:rsidR="00C61AC9" w:rsidRPr="00382A62">
        <w:rPr>
          <w:rFonts w:eastAsia="Arial" w:cs="Arial"/>
          <w:szCs w:val="20"/>
        </w:rPr>
        <w:t>2023</w:t>
      </w:r>
      <w:r w:rsidR="0004716C" w:rsidRPr="00382A62">
        <w:rPr>
          <w:rFonts w:eastAsia="Arial" w:cs="Arial"/>
          <w:szCs w:val="20"/>
        </w:rPr>
        <w:t xml:space="preserve"> recuper</w:t>
      </w:r>
      <w:r w:rsidR="00235F20" w:rsidRPr="00382A62">
        <w:rPr>
          <w:rFonts w:eastAsia="Arial" w:cs="Arial"/>
          <w:szCs w:val="20"/>
        </w:rPr>
        <w:t>o</w:t>
      </w:r>
      <w:r w:rsidR="0004716C" w:rsidRPr="00382A62">
        <w:rPr>
          <w:rFonts w:eastAsia="Arial" w:cs="Arial"/>
          <w:szCs w:val="20"/>
        </w:rPr>
        <w:t xml:space="preserve"> el 120% de envases plásticos colocados en el mercado. </w:t>
      </w:r>
      <w:r w:rsidR="00C61AC9" w:rsidRPr="00382A62">
        <w:rPr>
          <w:rFonts w:eastAsia="Arial" w:cs="Arial"/>
          <w:szCs w:val="20"/>
        </w:rPr>
        <w:t>Este porcentaje de recuperación se</w:t>
      </w:r>
      <w:r w:rsidR="0004716C" w:rsidRPr="00382A62">
        <w:rPr>
          <w:rFonts w:eastAsia="Arial" w:cs="Arial"/>
          <w:szCs w:val="20"/>
        </w:rPr>
        <w:t xml:space="preserve"> </w:t>
      </w:r>
      <w:r w:rsidR="00C61AC9" w:rsidRPr="00382A62">
        <w:rPr>
          <w:rFonts w:eastAsia="Arial" w:cs="Arial"/>
          <w:szCs w:val="20"/>
        </w:rPr>
        <w:t>debe a nuestra responsabilidad de</w:t>
      </w:r>
      <w:r w:rsidR="0004716C" w:rsidRPr="00382A62">
        <w:rPr>
          <w:rFonts w:eastAsia="Arial" w:cs="Arial"/>
          <w:szCs w:val="20"/>
        </w:rPr>
        <w:t xml:space="preserve"> </w:t>
      </w:r>
      <w:r w:rsidR="00C61AC9" w:rsidRPr="00382A62">
        <w:rPr>
          <w:rFonts w:eastAsia="Arial" w:cs="Arial"/>
          <w:szCs w:val="20"/>
        </w:rPr>
        <w:t>recolectar todo tipo de envases,</w:t>
      </w:r>
      <w:r w:rsidR="0004716C" w:rsidRPr="00382A62">
        <w:rPr>
          <w:rFonts w:eastAsia="Arial" w:cs="Arial"/>
          <w:szCs w:val="20"/>
        </w:rPr>
        <w:t xml:space="preserve"> </w:t>
      </w:r>
      <w:r w:rsidR="00C61AC9" w:rsidRPr="00382A62">
        <w:rPr>
          <w:rFonts w:eastAsia="Arial" w:cs="Arial"/>
          <w:szCs w:val="20"/>
        </w:rPr>
        <w:t>sin discriminar si pertenece o no a</w:t>
      </w:r>
      <w:r w:rsidR="0004716C" w:rsidRPr="00382A62">
        <w:rPr>
          <w:rFonts w:eastAsia="Arial" w:cs="Arial"/>
          <w:szCs w:val="20"/>
        </w:rPr>
        <w:t xml:space="preserve"> </w:t>
      </w:r>
      <w:r w:rsidR="00C61AC9" w:rsidRPr="00382A62">
        <w:rPr>
          <w:rFonts w:eastAsia="Arial" w:cs="Arial"/>
          <w:szCs w:val="20"/>
        </w:rPr>
        <w:t>alguna de nuestras marcas. Además,</w:t>
      </w:r>
      <w:r w:rsidR="0004716C" w:rsidRPr="00382A62">
        <w:rPr>
          <w:rFonts w:eastAsia="Arial" w:cs="Arial"/>
          <w:szCs w:val="20"/>
        </w:rPr>
        <w:t xml:space="preserve"> </w:t>
      </w:r>
      <w:r w:rsidR="00C61AC9" w:rsidRPr="00382A62">
        <w:rPr>
          <w:rFonts w:eastAsia="Arial" w:cs="Arial"/>
          <w:szCs w:val="20"/>
        </w:rPr>
        <w:t>cerramos con la meta de un 94%</w:t>
      </w:r>
      <w:r w:rsidR="0004716C" w:rsidRPr="00382A62">
        <w:rPr>
          <w:rFonts w:eastAsia="Arial" w:cs="Arial"/>
          <w:szCs w:val="20"/>
        </w:rPr>
        <w:t xml:space="preserve"> </w:t>
      </w:r>
      <w:r w:rsidR="00C61AC9" w:rsidRPr="00382A62">
        <w:rPr>
          <w:rFonts w:eastAsia="Arial" w:cs="Arial"/>
          <w:szCs w:val="20"/>
        </w:rPr>
        <w:t>de recuperación global en otros</w:t>
      </w:r>
      <w:r w:rsidR="0004716C" w:rsidRPr="00382A62">
        <w:rPr>
          <w:rFonts w:eastAsia="Arial" w:cs="Arial"/>
          <w:szCs w:val="20"/>
        </w:rPr>
        <w:t xml:space="preserve"> </w:t>
      </w:r>
      <w:r w:rsidR="00C61AC9" w:rsidRPr="00382A62">
        <w:rPr>
          <w:rFonts w:eastAsia="Arial" w:cs="Arial"/>
          <w:szCs w:val="20"/>
        </w:rPr>
        <w:t>materiales, que de igual forma se</w:t>
      </w:r>
      <w:r w:rsidR="0004716C" w:rsidRPr="00382A62">
        <w:rPr>
          <w:rFonts w:eastAsia="Arial" w:cs="Arial"/>
          <w:szCs w:val="20"/>
        </w:rPr>
        <w:t xml:space="preserve"> </w:t>
      </w:r>
      <w:r w:rsidR="00C61AC9" w:rsidRPr="00382A62">
        <w:rPr>
          <w:rFonts w:eastAsia="Arial" w:cs="Arial"/>
          <w:szCs w:val="20"/>
        </w:rPr>
        <w:t>gestiona a través del programa de</w:t>
      </w:r>
      <w:r w:rsidR="0004716C" w:rsidRPr="00382A62">
        <w:rPr>
          <w:rFonts w:eastAsia="Arial" w:cs="Arial"/>
          <w:szCs w:val="20"/>
        </w:rPr>
        <w:t xml:space="preserve"> </w:t>
      </w:r>
      <w:r w:rsidR="00C61AC9" w:rsidRPr="00382A62">
        <w:rPr>
          <w:rFonts w:eastAsia="Arial" w:cs="Arial"/>
          <w:szCs w:val="20"/>
        </w:rPr>
        <w:t>recolección de envases post consumo</w:t>
      </w:r>
      <w:r w:rsidR="00235F20" w:rsidRPr="00382A62">
        <w:rPr>
          <w:rFonts w:eastAsia="Arial" w:cs="Arial"/>
          <w:szCs w:val="20"/>
        </w:rPr>
        <w:t>.</w:t>
      </w:r>
      <w:r w:rsidR="00BB2FBD" w:rsidRPr="00382A62">
        <w:rPr>
          <w:rFonts w:eastAsia="Arial" w:cs="Arial"/>
          <w:szCs w:val="20"/>
        </w:rPr>
        <w:t xml:space="preserve"> </w:t>
      </w:r>
    </w:p>
    <w:p w14:paraId="7F2383B8" w14:textId="549A6380" w:rsidR="00F46808" w:rsidRPr="00382A62" w:rsidRDefault="00F46808" w:rsidP="00E874F1">
      <w:pPr>
        <w:pStyle w:val="Ttulo3"/>
        <w:numPr>
          <w:ilvl w:val="1"/>
          <w:numId w:val="27"/>
        </w:numPr>
        <w:rPr>
          <w:rFonts w:cs="Arial"/>
          <w:sz w:val="20"/>
          <w:szCs w:val="20"/>
        </w:rPr>
      </w:pPr>
      <w:bookmarkStart w:id="240" w:name="_Toc169624675"/>
      <w:bookmarkStart w:id="241" w:name="_Toc131092916"/>
      <w:bookmarkStart w:id="242" w:name="_Toc131501117"/>
      <w:r w:rsidRPr="00382A62">
        <w:rPr>
          <w:rFonts w:cs="Arial"/>
          <w:sz w:val="20"/>
          <w:szCs w:val="20"/>
        </w:rPr>
        <w:t>Programa de Reciclaje Post Industrial y Estrategia Cero Residuos</w:t>
      </w:r>
      <w:bookmarkEnd w:id="240"/>
    </w:p>
    <w:p w14:paraId="4E8FE45D" w14:textId="17602DAA" w:rsidR="006A0846" w:rsidRPr="00382A62" w:rsidRDefault="006A0846" w:rsidP="006A0846">
      <w:pPr>
        <w:rPr>
          <w:rFonts w:cs="Arial"/>
          <w:szCs w:val="20"/>
        </w:rPr>
      </w:pPr>
      <w:r w:rsidRPr="00382A62">
        <w:rPr>
          <w:rFonts w:cs="Arial"/>
          <w:szCs w:val="20"/>
        </w:rPr>
        <w:t>La compañía realiza un seguimiento de la operación de estas empresas a través de la solicitud de los permisos correspondientes, así como en algunos casos, la ejecución de auditorías de sostenibilidad de la mano del Programa de Compras Sostenibles. Los gestores deben cumplir con las leyes aplicables según el país de operación, así como garantizar la gestión adecuada de los residuos que le son entregados. La recolección de información de los residuos puede provenir de las siguientes fuentes:</w:t>
      </w:r>
    </w:p>
    <w:p w14:paraId="7462B087" w14:textId="3F7BBE5B" w:rsidR="006A0846" w:rsidRPr="00382A62" w:rsidRDefault="006A0846" w:rsidP="006A0846">
      <w:pPr>
        <w:pStyle w:val="Prrafodelista"/>
        <w:numPr>
          <w:ilvl w:val="1"/>
          <w:numId w:val="25"/>
        </w:numPr>
        <w:rPr>
          <w:rFonts w:cs="Arial"/>
          <w:szCs w:val="20"/>
        </w:rPr>
      </w:pPr>
      <w:r w:rsidRPr="00382A62">
        <w:rPr>
          <w:rFonts w:cs="Arial"/>
          <w:szCs w:val="20"/>
        </w:rPr>
        <w:t>Comprobantes o certificados emitidos por el gestor de residuos.</w:t>
      </w:r>
    </w:p>
    <w:p w14:paraId="6F23B1F4" w14:textId="40897074" w:rsidR="006A0846" w:rsidRPr="00382A62" w:rsidRDefault="006A0846" w:rsidP="006A0846">
      <w:pPr>
        <w:pStyle w:val="Prrafodelista"/>
        <w:numPr>
          <w:ilvl w:val="1"/>
          <w:numId w:val="25"/>
        </w:numPr>
        <w:rPr>
          <w:rFonts w:cs="Arial"/>
          <w:szCs w:val="20"/>
        </w:rPr>
      </w:pPr>
      <w:r w:rsidRPr="00382A62">
        <w:rPr>
          <w:rFonts w:cs="Arial"/>
          <w:szCs w:val="20"/>
        </w:rPr>
        <w:t>Pesaje interno de los residuos previo a su entrega a los gestores.</w:t>
      </w:r>
    </w:p>
    <w:p w14:paraId="476ECD95" w14:textId="186B5343" w:rsidR="006A0846" w:rsidRPr="00382A62" w:rsidRDefault="006A0846" w:rsidP="006A0846">
      <w:pPr>
        <w:pStyle w:val="Prrafodelista"/>
        <w:numPr>
          <w:ilvl w:val="1"/>
          <w:numId w:val="25"/>
        </w:numPr>
        <w:rPr>
          <w:rFonts w:cs="Arial"/>
          <w:szCs w:val="20"/>
        </w:rPr>
      </w:pPr>
      <w:r w:rsidRPr="00382A62">
        <w:rPr>
          <w:rFonts w:cs="Arial"/>
          <w:szCs w:val="20"/>
        </w:rPr>
        <w:t>Facturas de venta de residuos.</w:t>
      </w:r>
    </w:p>
    <w:p w14:paraId="18D6749A" w14:textId="2E01356A" w:rsidR="006A0846" w:rsidRPr="00382A62" w:rsidRDefault="006A0846" w:rsidP="006A0846">
      <w:pPr>
        <w:pStyle w:val="Prrafodelista"/>
        <w:numPr>
          <w:ilvl w:val="1"/>
          <w:numId w:val="25"/>
        </w:numPr>
        <w:rPr>
          <w:rFonts w:cs="Arial"/>
          <w:szCs w:val="20"/>
        </w:rPr>
      </w:pPr>
      <w:r w:rsidRPr="00382A62">
        <w:rPr>
          <w:rFonts w:cs="Arial"/>
          <w:szCs w:val="20"/>
        </w:rPr>
        <w:t>Estimaciones basadas en mediciones tales como densidad, entre otras.</w:t>
      </w:r>
    </w:p>
    <w:p w14:paraId="2D052C00" w14:textId="6686679C" w:rsidR="00C10C08" w:rsidRPr="00382A62" w:rsidRDefault="00157524" w:rsidP="001E255D">
      <w:pPr>
        <w:rPr>
          <w:rFonts w:cs="Arial"/>
          <w:szCs w:val="20"/>
        </w:rPr>
      </w:pPr>
      <w:r w:rsidRPr="00382A62">
        <w:rPr>
          <w:rFonts w:cs="Arial"/>
          <w:szCs w:val="20"/>
        </w:rPr>
        <w:t>La certificación “Zero Waste To Landfill” otorgada por Carbon Trust se mantiene para Distribuidora La Florida y</w:t>
      </w:r>
      <w:r w:rsidR="006A2A42" w:rsidRPr="00382A62">
        <w:rPr>
          <w:rFonts w:cs="Arial"/>
          <w:szCs w:val="20"/>
        </w:rPr>
        <w:t xml:space="preserve"> FIFCO Retail, Costa Rica.</w:t>
      </w:r>
    </w:p>
    <w:p w14:paraId="7217E5F5" w14:textId="344AF6A5" w:rsidR="00157524" w:rsidRPr="00382A62" w:rsidRDefault="001E255D" w:rsidP="001E255D">
      <w:pPr>
        <w:rPr>
          <w:rFonts w:cs="Arial"/>
          <w:szCs w:val="20"/>
        </w:rPr>
      </w:pPr>
      <w:r w:rsidRPr="00382A62">
        <w:rPr>
          <w:rFonts w:cs="Arial"/>
          <w:szCs w:val="20"/>
        </w:rPr>
        <w:t>Las operaciones de Distribuidora La</w:t>
      </w:r>
      <w:r w:rsidR="00C10C08" w:rsidRPr="00382A62">
        <w:rPr>
          <w:rFonts w:cs="Arial"/>
          <w:szCs w:val="20"/>
        </w:rPr>
        <w:t xml:space="preserve"> </w:t>
      </w:r>
      <w:r w:rsidRPr="00382A62">
        <w:rPr>
          <w:rFonts w:cs="Arial"/>
          <w:szCs w:val="20"/>
        </w:rPr>
        <w:t xml:space="preserve">Florida presentan una valorización del 99% o más de sus residuos. Gracias a ello, se cuenta con la certificación ZERO WASTE TO LANDFILL, la cual se gana obteniendo menos de un 1% de </w:t>
      </w:r>
      <w:r w:rsidRPr="00382A62">
        <w:rPr>
          <w:rFonts w:cs="Arial"/>
          <w:szCs w:val="20"/>
        </w:rPr>
        <w:lastRenderedPageBreak/>
        <w:t>residuos dirigidos al relleno sanitario. Esta certificación además califica la responsabilidad legal de cada empresa que quiera ganarla, ya que se debe contar con gestores autorizados, entrega de certificados de disposición o destrucción del material, una correcta trazabilidad, desde la generación hasta la disposición final.</w:t>
      </w:r>
      <w:r w:rsidR="00157524" w:rsidRPr="00382A62">
        <w:rPr>
          <w:rFonts w:cs="Arial"/>
          <w:szCs w:val="20"/>
        </w:rPr>
        <w:t>FIFCO Retail, Costa Rica</w:t>
      </w:r>
      <w:r w:rsidRPr="00382A62">
        <w:rPr>
          <w:rFonts w:cs="Arial"/>
          <w:szCs w:val="20"/>
        </w:rPr>
        <w:t>.</w:t>
      </w:r>
    </w:p>
    <w:p w14:paraId="6FFDA4A1" w14:textId="7FE37B32" w:rsidR="006A2A42" w:rsidRPr="00382A62" w:rsidRDefault="006A2A42" w:rsidP="006A2A42">
      <w:pPr>
        <w:rPr>
          <w:rFonts w:cs="Arial"/>
          <w:szCs w:val="20"/>
        </w:rPr>
      </w:pPr>
      <w:r w:rsidRPr="00382A62">
        <w:rPr>
          <w:rFonts w:cs="Arial"/>
          <w:szCs w:val="20"/>
        </w:rPr>
        <w:t>En el caso de Retail, desde el 2018 se mantienen sin reportar envíos de residuos al relleno sanitario de forma directa, es decir, un proceso real de Cero Residuos. Esto se logra por medio de la correcta separación desde la fuente, basada en toma de conciencia de parte de todos los colaboradores y procesos productivos en la planta de manufactura.</w:t>
      </w:r>
    </w:p>
    <w:p w14:paraId="30BEB42D" w14:textId="45DB0A36" w:rsidR="007605E6" w:rsidRPr="00382A62" w:rsidRDefault="007605E6" w:rsidP="00147CF2">
      <w:pPr>
        <w:pStyle w:val="Ttulo3"/>
        <w:numPr>
          <w:ilvl w:val="1"/>
          <w:numId w:val="27"/>
        </w:numPr>
        <w:rPr>
          <w:rFonts w:cs="Arial"/>
          <w:sz w:val="20"/>
          <w:szCs w:val="20"/>
        </w:rPr>
      </w:pPr>
      <w:bookmarkStart w:id="243" w:name="_Toc169624676"/>
      <w:r w:rsidRPr="00382A62">
        <w:rPr>
          <w:rFonts w:cs="Arial"/>
          <w:sz w:val="20"/>
          <w:szCs w:val="20"/>
        </w:rPr>
        <w:t>Portafolio de envases sostenibles</w:t>
      </w:r>
      <w:bookmarkEnd w:id="241"/>
      <w:bookmarkEnd w:id="242"/>
      <w:bookmarkEnd w:id="243"/>
    </w:p>
    <w:p w14:paraId="1F12DC92" w14:textId="77777777" w:rsidR="007605E6" w:rsidRPr="00382A62" w:rsidRDefault="007605E6" w:rsidP="007605E6">
      <w:pPr>
        <w:rPr>
          <w:rFonts w:eastAsia="Arial" w:cs="Arial"/>
          <w:szCs w:val="20"/>
        </w:rPr>
      </w:pPr>
      <w:r w:rsidRPr="00382A62">
        <w:rPr>
          <w:rFonts w:eastAsia="Arial" w:cs="Arial"/>
          <w:szCs w:val="20"/>
        </w:rPr>
        <w:t>Se trabajan tres iniciativas: Empaques amigables con el medio ambiente, Reciclaje post consumo e Investigación</w:t>
      </w:r>
    </w:p>
    <w:p w14:paraId="31A485B0" w14:textId="77777777" w:rsidR="007605E6" w:rsidRPr="00382A62" w:rsidRDefault="007605E6" w:rsidP="007605E6">
      <w:pPr>
        <w:rPr>
          <w:rFonts w:cs="Arial"/>
          <w:szCs w:val="20"/>
        </w:rPr>
      </w:pPr>
      <w:r w:rsidRPr="00382A62">
        <w:rPr>
          <w:rFonts w:eastAsia="Arial" w:cs="Arial"/>
          <w:szCs w:val="20"/>
        </w:rPr>
        <w:t>La inclusión del uso de resina reciclada de PET (RPET) en las preformas de los envases plásticos se mantuvo durante el 2022 para las presentaciones de agua Cristal y Tropical, y en algunas presentaciones de carbonatadas Pepsi, Milory y Mirinda. Debido al desabastecimiento de la resina de RPET en nuestros proveedores de preforma durante el 2022, el porcentaje se redujo a un promedio de uso por preforma del 45%. Lo que representa una cantidad de 2.111 TM de envases con esta resina.</w:t>
      </w:r>
    </w:p>
    <w:p w14:paraId="0FA970B4" w14:textId="77777777" w:rsidR="007605E6" w:rsidRPr="00382A62" w:rsidRDefault="007605E6" w:rsidP="007605E6">
      <w:pPr>
        <w:rPr>
          <w:rFonts w:cs="Arial"/>
          <w:szCs w:val="20"/>
        </w:rPr>
      </w:pPr>
      <w:r w:rsidRPr="00382A62">
        <w:rPr>
          <w:rFonts w:eastAsia="Arial" w:cs="Arial"/>
          <w:szCs w:val="20"/>
        </w:rPr>
        <w:t>En el 2022 y en línea con la estrategia de sostenibilidad de FIFCO al 2025, se continuó con el plan que pretende reducir aún más las presentaciones en plástico de los productos que vende la compañía. El indicador corporativo que mide la presentación de envases de plástico versus otros envases del portafolio de productos tuvo como resultado un 75%. Es decir; 75 de cada 100 envases utilizados por FIFCO son distintos al plástico.</w:t>
      </w:r>
    </w:p>
    <w:p w14:paraId="725572F8" w14:textId="77777777" w:rsidR="007605E6" w:rsidRPr="00382A62" w:rsidRDefault="007605E6" w:rsidP="007605E6">
      <w:pPr>
        <w:rPr>
          <w:rFonts w:cs="Arial"/>
          <w:szCs w:val="20"/>
        </w:rPr>
      </w:pPr>
      <w:r w:rsidRPr="00382A62">
        <w:rPr>
          <w:rFonts w:eastAsia="Arial" w:cs="Arial"/>
          <w:szCs w:val="20"/>
        </w:rPr>
        <w:t>Este año el Programa de Reciclaje de Envases Post-Consumo de FIFCO, logró recuperar el 119% de los envases plásticos colocados en el mercado. Este logro significó que de cada 119 envases FIFCO recuperó aproximadamente 100 botellas propias y 19 botellas adicionales de otras compañías. Además de un 91% de recuperación global en otros materiales distintos al plástico que FIFCO gestiona a través del programa de recolección de envases post consumo.</w:t>
      </w:r>
    </w:p>
    <w:p w14:paraId="53287C2B" w14:textId="77777777" w:rsidR="007605E6" w:rsidRPr="00382A62" w:rsidRDefault="007605E6" w:rsidP="007605E6">
      <w:pPr>
        <w:rPr>
          <w:rFonts w:cs="Arial"/>
          <w:szCs w:val="20"/>
        </w:rPr>
      </w:pPr>
      <w:r w:rsidRPr="00382A62">
        <w:rPr>
          <w:rFonts w:eastAsia="Arial" w:cs="Arial"/>
          <w:szCs w:val="20"/>
        </w:rPr>
        <w:t>Durante el 2022 con base en los resultados obtenidos del estudio piloto se tomó la decisión de postergar el desarrollo de un nuevo prototipo del envase de PLA, eso con la finalidad de evaluar en el 2023 el uso de envases de bebidas elaboradas de PET 100% de base biológica, lo que significa un envase hecho a base de plantas y totalmente reciclable. Además, se realizó el estudio de factibilidad para la sustitución del plástico en el empaque secundario en el negocio de Cerveza para sustituirlo por empaques más amigables con el ambiente.</w:t>
      </w:r>
    </w:p>
    <w:p w14:paraId="53306300" w14:textId="77777777" w:rsidR="007605E6" w:rsidRPr="00382A62" w:rsidRDefault="007605E6" w:rsidP="00147CF2">
      <w:pPr>
        <w:pStyle w:val="Ttulo3"/>
        <w:numPr>
          <w:ilvl w:val="1"/>
          <w:numId w:val="27"/>
        </w:numPr>
        <w:rPr>
          <w:rFonts w:cs="Arial"/>
          <w:sz w:val="20"/>
          <w:szCs w:val="20"/>
        </w:rPr>
      </w:pPr>
      <w:bookmarkStart w:id="244" w:name="_Toc131092917"/>
      <w:bookmarkStart w:id="245" w:name="_Toc131501118"/>
      <w:bookmarkStart w:id="246" w:name="_Toc169624677"/>
      <w:r w:rsidRPr="00382A62">
        <w:rPr>
          <w:rFonts w:cs="Arial"/>
          <w:sz w:val="20"/>
          <w:szCs w:val="20"/>
        </w:rPr>
        <w:t>Agua y saneamiento</w:t>
      </w:r>
      <w:bookmarkEnd w:id="244"/>
      <w:bookmarkEnd w:id="245"/>
      <w:bookmarkEnd w:id="246"/>
    </w:p>
    <w:p w14:paraId="0252C7A0" w14:textId="77777777" w:rsidR="007605E6" w:rsidRPr="00382A62" w:rsidRDefault="007605E6" w:rsidP="007605E6">
      <w:pPr>
        <w:rPr>
          <w:rFonts w:cs="Arial"/>
          <w:szCs w:val="20"/>
        </w:rPr>
      </w:pPr>
      <w:r w:rsidRPr="00382A62">
        <w:rPr>
          <w:rFonts w:eastAsia="Arial" w:cs="Arial"/>
          <w:szCs w:val="20"/>
        </w:rPr>
        <w:t>La estrategia de Agua Neutralidad se resume en 4 etapas, basadas en el proceso de mejora continua y respaldada por una verificación externa que permite rendir cuentas acerca del desempeño.</w:t>
      </w:r>
    </w:p>
    <w:p w14:paraId="3CC109AF" w14:textId="77777777" w:rsidR="007605E6" w:rsidRPr="00382A62" w:rsidRDefault="007605E6" w:rsidP="007605E6">
      <w:pPr>
        <w:rPr>
          <w:rFonts w:cs="Arial"/>
          <w:szCs w:val="20"/>
        </w:rPr>
      </w:pPr>
      <w:r w:rsidRPr="00382A62">
        <w:rPr>
          <w:rFonts w:eastAsia="Arial" w:cs="Arial"/>
          <w:szCs w:val="20"/>
        </w:rPr>
        <w:lastRenderedPageBreak/>
        <w:t>La operación de bebidas y alimentos en Costa Rica realiza un proceso adicional de compensación de su huella de agua y mantiene la condición de Agua Neutralidad. Este proceso de verificación de la huella de agua se realiza de manera anual desde el 2012 y a partir del 2017 se alcanzó el reconocimiento de agua positivo que se mantiene en la actualidad.</w:t>
      </w:r>
    </w:p>
    <w:p w14:paraId="549D6022" w14:textId="1B551F50" w:rsidR="007605E6" w:rsidRPr="00382A62" w:rsidRDefault="007605E6" w:rsidP="00147CF2">
      <w:pPr>
        <w:pStyle w:val="Prrafodelista"/>
        <w:numPr>
          <w:ilvl w:val="0"/>
          <w:numId w:val="46"/>
        </w:numPr>
        <w:rPr>
          <w:rFonts w:cs="Arial"/>
          <w:szCs w:val="20"/>
        </w:rPr>
      </w:pPr>
      <w:r w:rsidRPr="00382A62">
        <w:rPr>
          <w:rFonts w:cs="Arial"/>
          <w:szCs w:val="20"/>
        </w:rPr>
        <w:t xml:space="preserve">Medición: El 100% del agua que se utiliza en todos los procesos de FIFCO se mide y se controla a lo largo del año, incluso el nivel de detalle de medición se ha ido afinando con los años, con el fin de identificar aquellas oportunidades de reducción de consumo y de optimización que permitan hacer el uso más responsable de este valioso recurso. Las fuentes de agua que se </w:t>
      </w:r>
      <w:r w:rsidR="0012517C" w:rsidRPr="00382A62">
        <w:rPr>
          <w:rFonts w:cs="Arial"/>
          <w:szCs w:val="20"/>
        </w:rPr>
        <w:t>utilizan</w:t>
      </w:r>
      <w:r w:rsidRPr="00382A62">
        <w:rPr>
          <w:rFonts w:cs="Arial"/>
          <w:szCs w:val="20"/>
        </w:rPr>
        <w:t xml:space="preserve"> en las instalaciones de bebidas y alimentos en Centroamérica y USA, el negocio de Retail y de Hospitalidad en Costa Rica provienen primordialmente de fuentes subterráneas. En las operaciones de bebidas en Costa Rica, se utiliza agua de manantiales para los productos, subterránea para los procesos productivos, y por último, suministro de acueductos y agua de lluvia para algunos centros de distribución y áreas administrativas. En el caso de IAK (Guatemala) el 100% de las fuentes son de origen subterráneo. Hospitalidad divide su extracción entre agua subterránea y aprovechamiento de agua de mar, mientras que en el caso de las operaciones de panificación de FIFCO Retail y FIFCO USA, el agua es provista por el acueducto local.</w:t>
      </w:r>
    </w:p>
    <w:p w14:paraId="347DD5DD" w14:textId="577EA46E" w:rsidR="007605E6" w:rsidRPr="00382A62" w:rsidRDefault="007605E6" w:rsidP="00055804">
      <w:pPr>
        <w:pStyle w:val="Prrafodelista"/>
        <w:numPr>
          <w:ilvl w:val="0"/>
          <w:numId w:val="46"/>
        </w:numPr>
        <w:rPr>
          <w:rFonts w:cs="Arial"/>
          <w:szCs w:val="20"/>
        </w:rPr>
      </w:pPr>
      <w:r w:rsidRPr="00382A62">
        <w:rPr>
          <w:rFonts w:cs="Arial"/>
          <w:szCs w:val="20"/>
        </w:rPr>
        <w:t xml:space="preserve">Control y reducción: </w:t>
      </w:r>
      <w:r w:rsidR="0071612A" w:rsidRPr="00382A62">
        <w:rPr>
          <w:rFonts w:cs="Arial"/>
          <w:szCs w:val="20"/>
        </w:rPr>
        <w:t>Los indicadores y metas de cada periodo se establecen con base en las proyecciones de comportamiento y el histórico de años anteriores, por eso se observan fluctuaciones en algunas unidades de negocio, sin embargo, los planes y controles de reducción de consumo y eficiencia</w:t>
      </w:r>
      <w:r w:rsidR="00A32D31" w:rsidRPr="00382A62">
        <w:rPr>
          <w:rFonts w:cs="Arial"/>
          <w:szCs w:val="20"/>
        </w:rPr>
        <w:t xml:space="preserve"> </w:t>
      </w:r>
      <w:r w:rsidR="0071612A" w:rsidRPr="00382A62">
        <w:rPr>
          <w:rFonts w:cs="Arial"/>
          <w:szCs w:val="20"/>
        </w:rPr>
        <w:t>son una actividad constante en</w:t>
      </w:r>
      <w:r w:rsidR="00A32D31" w:rsidRPr="00382A62">
        <w:rPr>
          <w:rFonts w:cs="Arial"/>
          <w:szCs w:val="20"/>
        </w:rPr>
        <w:t xml:space="preserve"> </w:t>
      </w:r>
      <w:r w:rsidR="0071612A" w:rsidRPr="00382A62">
        <w:rPr>
          <w:rFonts w:cs="Arial"/>
          <w:szCs w:val="20"/>
        </w:rPr>
        <w:t>cada operación</w:t>
      </w:r>
      <w:r w:rsidRPr="00382A62">
        <w:rPr>
          <w:rFonts w:cs="Arial"/>
          <w:szCs w:val="20"/>
        </w:rPr>
        <w:t>.</w:t>
      </w:r>
    </w:p>
    <w:p w14:paraId="5A824D22" w14:textId="77777777" w:rsidR="007605E6" w:rsidRPr="00382A62" w:rsidRDefault="007605E6" w:rsidP="00147CF2">
      <w:pPr>
        <w:pStyle w:val="Prrafodelista"/>
        <w:numPr>
          <w:ilvl w:val="0"/>
          <w:numId w:val="46"/>
        </w:numPr>
        <w:rPr>
          <w:rFonts w:cs="Arial"/>
          <w:szCs w:val="20"/>
        </w:rPr>
      </w:pPr>
      <w:r w:rsidRPr="00382A62">
        <w:rPr>
          <w:rFonts w:cs="Arial"/>
          <w:szCs w:val="20"/>
        </w:rPr>
        <w:t>Compensación: Se mantiene el proceso de compensación externa mediante la protección de cuencas hidrográficas a través del mecanismo de Pagos por Servicios Ambientales (PSA’s) del Fondo Nacional de Financiamiento Forestal (FONAFIFO). Esta cuantificación es verificada anualmente por el Instituto de Normas Técnicas de Costa Rica. Adicionalmente y como otro mecanismo que contribuyen a la mitigación de consumos, FIFCO desde el 2015 participa del primer fondo de agua en Costa Rica denominado Agua Tica.</w:t>
      </w:r>
    </w:p>
    <w:p w14:paraId="53D606FD" w14:textId="77777777" w:rsidR="007605E6" w:rsidRPr="00382A62" w:rsidRDefault="007605E6" w:rsidP="00147CF2">
      <w:pPr>
        <w:pStyle w:val="Prrafodelista"/>
        <w:numPr>
          <w:ilvl w:val="0"/>
          <w:numId w:val="46"/>
        </w:numPr>
        <w:rPr>
          <w:rFonts w:cs="Arial"/>
          <w:szCs w:val="20"/>
        </w:rPr>
      </w:pPr>
      <w:r w:rsidRPr="00382A62">
        <w:rPr>
          <w:rFonts w:cs="Arial"/>
          <w:szCs w:val="20"/>
        </w:rPr>
        <w:t>Agua Positiva: Luego de lograr una huella hídrica neutra gracias al mecanismo de compensación, FIFCO decide realizar un esfuerzo adicional y llegar al valor positivo. Esto se alcanza por medio de los proyectos de fijación de agua con la finalidad de devolver más agua al sistema hídrico de la que toma de este. Hay dos proyectos de fijación de agua:  Cuenca alta del Barva y Península de Osa.</w:t>
      </w:r>
    </w:p>
    <w:p w14:paraId="54D6F87E" w14:textId="15477A49" w:rsidR="007605E6" w:rsidRPr="00382A62" w:rsidRDefault="007605E6" w:rsidP="009D7558">
      <w:pPr>
        <w:rPr>
          <w:rFonts w:eastAsia="Arial" w:cs="Arial"/>
          <w:szCs w:val="20"/>
        </w:rPr>
      </w:pPr>
      <w:r w:rsidRPr="00382A62">
        <w:rPr>
          <w:rFonts w:cs="Arial"/>
          <w:szCs w:val="20"/>
        </w:rPr>
        <w:t xml:space="preserve">Saneamiento: </w:t>
      </w:r>
      <w:r w:rsidR="009D7558" w:rsidRPr="00382A62">
        <w:rPr>
          <w:rFonts w:cs="Arial"/>
          <w:szCs w:val="20"/>
        </w:rPr>
        <w:t>Actualmente no hay operaciones en países con ausencia de regulación en este tema, ni se hacen vertidos de aguas en zonas con estrés hídrico. Los sistemas de tratamiento de agua residual de todas las instalaciones se encuentran en operación continua</w:t>
      </w:r>
      <w:r w:rsidRPr="00382A62">
        <w:rPr>
          <w:rFonts w:eastAsia="Arial" w:cs="Arial"/>
          <w:szCs w:val="20"/>
        </w:rPr>
        <w:t>.</w:t>
      </w:r>
    </w:p>
    <w:p w14:paraId="5607D8C8" w14:textId="29ED1E6F" w:rsidR="007605E6" w:rsidRPr="00382A62" w:rsidRDefault="007605E6" w:rsidP="00147CF2">
      <w:pPr>
        <w:pStyle w:val="Ttulo3"/>
        <w:numPr>
          <w:ilvl w:val="1"/>
          <w:numId w:val="27"/>
        </w:numPr>
        <w:rPr>
          <w:rFonts w:cs="Arial"/>
          <w:sz w:val="20"/>
          <w:szCs w:val="20"/>
        </w:rPr>
      </w:pPr>
      <w:bookmarkStart w:id="247" w:name="_Toc131092918"/>
      <w:bookmarkStart w:id="248" w:name="_Toc131501119"/>
      <w:bookmarkStart w:id="249" w:name="_Toc169624678"/>
      <w:r w:rsidRPr="00382A62">
        <w:rPr>
          <w:rFonts w:cs="Arial"/>
          <w:sz w:val="20"/>
          <w:szCs w:val="20"/>
        </w:rPr>
        <w:t>Energía, emisiones y carbono positivo</w:t>
      </w:r>
      <w:bookmarkEnd w:id="247"/>
      <w:bookmarkEnd w:id="248"/>
      <w:bookmarkEnd w:id="249"/>
    </w:p>
    <w:p w14:paraId="061456CA" w14:textId="77777777" w:rsidR="007605E6" w:rsidRPr="00382A62" w:rsidRDefault="007605E6" w:rsidP="007605E6">
      <w:pPr>
        <w:rPr>
          <w:rFonts w:cs="Arial"/>
          <w:szCs w:val="20"/>
        </w:rPr>
      </w:pPr>
      <w:r w:rsidRPr="00382A62">
        <w:rPr>
          <w:rFonts w:cs="Arial"/>
          <w:szCs w:val="20"/>
        </w:rPr>
        <w:t>La estrategia de Carbono Positivo se mantiene en 4 fases que se continuó ejecutando durante el periodo 2022 en todas las operaciones según el nivel de madurez de cada una.</w:t>
      </w:r>
    </w:p>
    <w:p w14:paraId="55522699" w14:textId="77777777" w:rsidR="007605E6" w:rsidRPr="00382A62" w:rsidRDefault="007605E6" w:rsidP="00147CF2">
      <w:pPr>
        <w:pStyle w:val="Prrafodelista"/>
        <w:numPr>
          <w:ilvl w:val="0"/>
          <w:numId w:val="37"/>
        </w:numPr>
        <w:rPr>
          <w:rFonts w:cs="Arial"/>
          <w:b/>
          <w:bCs/>
          <w:szCs w:val="20"/>
        </w:rPr>
      </w:pPr>
      <w:r w:rsidRPr="00382A62">
        <w:rPr>
          <w:rFonts w:cs="Arial"/>
          <w:b/>
          <w:bCs/>
          <w:szCs w:val="20"/>
        </w:rPr>
        <w:lastRenderedPageBreak/>
        <w:t>Energía eléctrica</w:t>
      </w:r>
    </w:p>
    <w:p w14:paraId="4B9FA3A8" w14:textId="77777777" w:rsidR="007605E6" w:rsidRPr="00382A62" w:rsidRDefault="007605E6" w:rsidP="007605E6">
      <w:pPr>
        <w:rPr>
          <w:rFonts w:cs="Arial"/>
          <w:szCs w:val="20"/>
        </w:rPr>
      </w:pPr>
      <w:r w:rsidRPr="00382A62">
        <w:rPr>
          <w:rFonts w:cs="Arial"/>
          <w:szCs w:val="20"/>
        </w:rPr>
        <w:t xml:space="preserve">La matriz energética de los países donde se mantienen operaciones se compone de la siguiente forma: </w:t>
      </w:r>
    </w:p>
    <w:p w14:paraId="46564956" w14:textId="4E4AABCA" w:rsidR="007605E6" w:rsidRPr="00382A62" w:rsidRDefault="00420376" w:rsidP="00147CF2">
      <w:pPr>
        <w:pStyle w:val="Prrafodelista"/>
        <w:numPr>
          <w:ilvl w:val="0"/>
          <w:numId w:val="38"/>
        </w:numPr>
        <w:rPr>
          <w:rFonts w:eastAsia="Times New Roman" w:cs="Arial"/>
          <w:szCs w:val="20"/>
        </w:rPr>
      </w:pPr>
      <w:r w:rsidRPr="00382A62">
        <w:rPr>
          <w:rFonts w:eastAsia="Times New Roman" w:cs="Arial"/>
          <w:szCs w:val="20"/>
        </w:rPr>
        <w:t>FIFCO Costa Rica</w:t>
      </w:r>
      <w:r w:rsidR="007605E6" w:rsidRPr="00382A62">
        <w:rPr>
          <w:rFonts w:eastAsia="Times New Roman" w:cs="Arial"/>
          <w:szCs w:val="20"/>
        </w:rPr>
        <w:t>: Matriz energética basada en más del 9</w:t>
      </w:r>
      <w:r w:rsidR="00A14037" w:rsidRPr="00382A62">
        <w:rPr>
          <w:rFonts w:eastAsia="Times New Roman" w:cs="Arial"/>
          <w:szCs w:val="20"/>
        </w:rPr>
        <w:t>9.3</w:t>
      </w:r>
      <w:r w:rsidR="007605E6" w:rsidRPr="00382A62">
        <w:rPr>
          <w:rFonts w:eastAsia="Times New Roman" w:cs="Arial"/>
          <w:szCs w:val="20"/>
        </w:rPr>
        <w:t xml:space="preserve">% en energía renovable. </w:t>
      </w:r>
    </w:p>
    <w:p w14:paraId="1C0B2E1D" w14:textId="77777777" w:rsidR="00A14037" w:rsidRPr="00382A62" w:rsidRDefault="00A14037" w:rsidP="00743987">
      <w:pPr>
        <w:pStyle w:val="Prrafodelista"/>
        <w:numPr>
          <w:ilvl w:val="0"/>
          <w:numId w:val="38"/>
        </w:numPr>
        <w:rPr>
          <w:rFonts w:eastAsia="Times New Roman" w:cs="Arial"/>
          <w:szCs w:val="20"/>
        </w:rPr>
      </w:pPr>
      <w:r w:rsidRPr="00382A62">
        <w:rPr>
          <w:rFonts w:eastAsia="Times New Roman" w:cs="Arial"/>
          <w:szCs w:val="20"/>
        </w:rPr>
        <w:t>FIFCO Centroamérica La matriz energética local cuenta con un 100% en energía renovable, distribuido en un 55% de energía de fuente hídrica y un 45 % de biomasa.</w:t>
      </w:r>
    </w:p>
    <w:p w14:paraId="27AF0D3D" w14:textId="3B5F0A2E" w:rsidR="007605E6" w:rsidRPr="00382A62" w:rsidRDefault="00A14037" w:rsidP="000A228B">
      <w:pPr>
        <w:pStyle w:val="Prrafodelista"/>
        <w:numPr>
          <w:ilvl w:val="0"/>
          <w:numId w:val="38"/>
        </w:numPr>
        <w:rPr>
          <w:rFonts w:eastAsia="Times New Roman" w:cs="Arial"/>
          <w:szCs w:val="20"/>
        </w:rPr>
      </w:pPr>
      <w:r w:rsidRPr="00382A62">
        <w:rPr>
          <w:rFonts w:eastAsia="Times New Roman" w:cs="Arial"/>
          <w:szCs w:val="20"/>
        </w:rPr>
        <w:t>FIFCO USA</w:t>
      </w:r>
      <w:r w:rsidR="007605E6" w:rsidRPr="00382A62">
        <w:rPr>
          <w:rFonts w:eastAsia="Times New Roman" w:cs="Arial"/>
          <w:szCs w:val="20"/>
        </w:rPr>
        <w:t xml:space="preserve">: </w:t>
      </w:r>
      <w:r w:rsidR="00420376" w:rsidRPr="00382A62">
        <w:rPr>
          <w:rFonts w:eastAsia="Times New Roman" w:cs="Arial"/>
          <w:szCs w:val="20"/>
        </w:rPr>
        <w:t>La matriz energética se ve favorecida por ubicarse en Rochester, New York, uno de los estados con mayor generación de energía eléctrica proveniente de fuentes renovables en los Estados Unidos</w:t>
      </w:r>
      <w:r w:rsidR="00AD1617">
        <w:rPr>
          <w:rFonts w:eastAsia="Times New Roman" w:cs="Arial"/>
          <w:szCs w:val="20"/>
        </w:rPr>
        <w:t>.</w:t>
      </w:r>
    </w:p>
    <w:p w14:paraId="019B9822" w14:textId="3990B03C" w:rsidR="007605E6" w:rsidRPr="00382A62" w:rsidRDefault="007605E6" w:rsidP="007605E6">
      <w:pPr>
        <w:rPr>
          <w:rFonts w:cs="Arial"/>
          <w:szCs w:val="20"/>
        </w:rPr>
      </w:pPr>
      <w:r w:rsidRPr="00382A62">
        <w:rPr>
          <w:rFonts w:cs="Arial"/>
          <w:szCs w:val="20"/>
        </w:rPr>
        <w:t>Para todas las operaciones se cuenta con programas de medición y reducción del consumo de energía eléctrica, que permiten mejorar la gestión de los recursos.</w:t>
      </w:r>
    </w:p>
    <w:p w14:paraId="0A6262BD" w14:textId="7C737CC3" w:rsidR="009B7437" w:rsidRPr="00382A62" w:rsidRDefault="007605E6" w:rsidP="009B7437">
      <w:pPr>
        <w:rPr>
          <w:rFonts w:cs="Arial"/>
          <w:szCs w:val="20"/>
        </w:rPr>
      </w:pPr>
      <w:r w:rsidRPr="00382A62">
        <w:rPr>
          <w:rFonts w:cs="Arial"/>
          <w:szCs w:val="20"/>
        </w:rPr>
        <w:t xml:space="preserve">Para este período el área de manufactura de la Planta de Retail mantuvo la certificación ISO 50001. Y </w:t>
      </w:r>
      <w:r w:rsidR="009B7437" w:rsidRPr="00382A62">
        <w:rPr>
          <w:rFonts w:cs="Arial"/>
          <w:szCs w:val="20"/>
        </w:rPr>
        <w:t>Se obtuvo un resultado de “0 No conformidades” para el sistema de gestión tanta en auditorías internas como externas. Esto evidencia acciones oportunas en todo nivel e integración de las áreas operativas y de gestión.</w:t>
      </w:r>
    </w:p>
    <w:p w14:paraId="1EDFD0ED" w14:textId="0BFD2ADF" w:rsidR="007605E6" w:rsidRPr="00382A62" w:rsidRDefault="007605E6" w:rsidP="009B7437">
      <w:pPr>
        <w:pStyle w:val="Prrafodelista"/>
        <w:numPr>
          <w:ilvl w:val="0"/>
          <w:numId w:val="37"/>
        </w:numPr>
        <w:rPr>
          <w:rFonts w:cs="Arial"/>
          <w:b/>
          <w:bCs/>
          <w:szCs w:val="20"/>
        </w:rPr>
      </w:pPr>
      <w:r w:rsidRPr="00382A62">
        <w:rPr>
          <w:rFonts w:cs="Arial"/>
          <w:b/>
          <w:bCs/>
          <w:szCs w:val="20"/>
        </w:rPr>
        <w:t>Energía térmica</w:t>
      </w:r>
    </w:p>
    <w:p w14:paraId="0B5EC687" w14:textId="77777777" w:rsidR="007605E6" w:rsidRPr="00382A62" w:rsidRDefault="007605E6" w:rsidP="007605E6">
      <w:pPr>
        <w:rPr>
          <w:rFonts w:cs="Arial"/>
          <w:szCs w:val="20"/>
        </w:rPr>
      </w:pPr>
      <w:r w:rsidRPr="00382A62">
        <w:rPr>
          <w:rFonts w:cs="Arial"/>
          <w:szCs w:val="20"/>
        </w:rPr>
        <w:t>Para el total de las operaciones se ejecuta el proceso de medición de los consumos de energía térmica de todas las fuentes el cual se divide en:</w:t>
      </w:r>
    </w:p>
    <w:p w14:paraId="4DF2E5E2" w14:textId="77777777" w:rsidR="007605E6" w:rsidRPr="00382A62" w:rsidRDefault="007605E6" w:rsidP="00147CF2">
      <w:pPr>
        <w:pStyle w:val="Prrafodelista"/>
        <w:numPr>
          <w:ilvl w:val="0"/>
          <w:numId w:val="39"/>
        </w:numPr>
        <w:rPr>
          <w:rFonts w:eastAsia="Times New Roman" w:cs="Arial"/>
          <w:szCs w:val="20"/>
        </w:rPr>
      </w:pPr>
      <w:r w:rsidRPr="00382A62">
        <w:rPr>
          <w:rFonts w:eastAsia="Times New Roman" w:cs="Arial"/>
          <w:szCs w:val="20"/>
        </w:rPr>
        <w:t>Búnker: Generación de vapor.</w:t>
      </w:r>
    </w:p>
    <w:p w14:paraId="7A69FBD2" w14:textId="77777777" w:rsidR="007605E6" w:rsidRPr="00382A62" w:rsidRDefault="007605E6" w:rsidP="00147CF2">
      <w:pPr>
        <w:pStyle w:val="Prrafodelista"/>
        <w:numPr>
          <w:ilvl w:val="0"/>
          <w:numId w:val="39"/>
        </w:numPr>
        <w:rPr>
          <w:rFonts w:eastAsia="Times New Roman" w:cs="Arial"/>
          <w:szCs w:val="20"/>
        </w:rPr>
      </w:pPr>
      <w:r w:rsidRPr="00382A62">
        <w:rPr>
          <w:rFonts w:eastAsia="Times New Roman" w:cs="Arial"/>
          <w:szCs w:val="20"/>
        </w:rPr>
        <w:t>Diésel: Transporte de la flota y maquinaria para labores menores.</w:t>
      </w:r>
    </w:p>
    <w:p w14:paraId="4EEE96A2" w14:textId="77777777" w:rsidR="007605E6" w:rsidRPr="00382A62" w:rsidRDefault="007605E6" w:rsidP="00147CF2">
      <w:pPr>
        <w:pStyle w:val="Prrafodelista"/>
        <w:numPr>
          <w:ilvl w:val="0"/>
          <w:numId w:val="39"/>
        </w:numPr>
        <w:rPr>
          <w:rFonts w:eastAsia="Times New Roman" w:cs="Arial"/>
          <w:szCs w:val="20"/>
        </w:rPr>
      </w:pPr>
      <w:r w:rsidRPr="00382A62">
        <w:rPr>
          <w:rFonts w:eastAsia="Times New Roman" w:cs="Arial"/>
          <w:szCs w:val="20"/>
        </w:rPr>
        <w:t>GLP: Maquinaria como cocinas y calentadores y para el transporte de montacargas.</w:t>
      </w:r>
    </w:p>
    <w:p w14:paraId="32159BB2" w14:textId="69B1B1BF" w:rsidR="007605E6" w:rsidRPr="00382A62" w:rsidRDefault="007605E6" w:rsidP="00147CF2">
      <w:pPr>
        <w:pStyle w:val="Prrafodelista"/>
        <w:numPr>
          <w:ilvl w:val="0"/>
          <w:numId w:val="39"/>
        </w:numPr>
        <w:rPr>
          <w:rFonts w:eastAsia="Times New Roman" w:cs="Arial"/>
          <w:szCs w:val="20"/>
        </w:rPr>
      </w:pPr>
      <w:r w:rsidRPr="00382A62">
        <w:rPr>
          <w:rFonts w:eastAsia="Times New Roman" w:cs="Arial"/>
          <w:szCs w:val="20"/>
        </w:rPr>
        <w:t xml:space="preserve">Gasolina: Flota de transporte y algunos </w:t>
      </w:r>
      <w:r w:rsidR="00313333" w:rsidRPr="00382A62">
        <w:rPr>
          <w:rFonts w:eastAsia="Times New Roman" w:cs="Arial"/>
          <w:szCs w:val="20"/>
        </w:rPr>
        <w:t>equipos principalmente bombos</w:t>
      </w:r>
      <w:r w:rsidRPr="00382A62">
        <w:rPr>
          <w:rFonts w:eastAsia="Times New Roman" w:cs="Arial"/>
          <w:szCs w:val="20"/>
        </w:rPr>
        <w:t>.</w:t>
      </w:r>
    </w:p>
    <w:p w14:paraId="3F054738" w14:textId="77777777" w:rsidR="007605E6" w:rsidRPr="00382A62" w:rsidRDefault="007605E6" w:rsidP="00147CF2">
      <w:pPr>
        <w:pStyle w:val="Prrafodelista"/>
        <w:numPr>
          <w:ilvl w:val="0"/>
          <w:numId w:val="39"/>
        </w:numPr>
        <w:rPr>
          <w:rFonts w:eastAsia="Times New Roman" w:cs="Arial"/>
          <w:szCs w:val="20"/>
        </w:rPr>
      </w:pPr>
      <w:r w:rsidRPr="00382A62">
        <w:rPr>
          <w:rFonts w:eastAsia="Times New Roman" w:cs="Arial"/>
          <w:szCs w:val="20"/>
        </w:rPr>
        <w:t>Energía solar: Iluminación.</w:t>
      </w:r>
    </w:p>
    <w:p w14:paraId="488A14F3" w14:textId="6AB4487E" w:rsidR="007605E6" w:rsidRPr="00382A62" w:rsidRDefault="007605E6" w:rsidP="007605E6">
      <w:pPr>
        <w:rPr>
          <w:rFonts w:cs="Arial"/>
          <w:b/>
          <w:bCs/>
          <w:szCs w:val="20"/>
        </w:rPr>
      </w:pPr>
      <w:r w:rsidRPr="00382A62">
        <w:rPr>
          <w:rFonts w:eastAsia="Arial" w:cs="Arial"/>
          <w:szCs w:val="20"/>
        </w:rPr>
        <w:t>A nivel de resumen, con respecto al consumo de energía total de las operaciones de FIFCO de bebidas y alimentos en Centroamérica, para el período 202</w:t>
      </w:r>
      <w:r w:rsidR="00313333" w:rsidRPr="00382A62">
        <w:rPr>
          <w:rFonts w:eastAsia="Arial" w:cs="Arial"/>
          <w:szCs w:val="20"/>
        </w:rPr>
        <w:t>3</w:t>
      </w:r>
      <w:r w:rsidRPr="00382A62">
        <w:rPr>
          <w:rFonts w:eastAsia="Arial" w:cs="Arial"/>
          <w:szCs w:val="20"/>
        </w:rPr>
        <w:t>, se tiene una disminución en el indicador de energía promedio (térmica y eléctrica), pasando de 0,67</w:t>
      </w:r>
      <w:r w:rsidR="00073CC5" w:rsidRPr="00382A62">
        <w:rPr>
          <w:rFonts w:eastAsia="Arial" w:cs="Arial"/>
          <w:szCs w:val="20"/>
        </w:rPr>
        <w:t xml:space="preserve"> a 0.62</w:t>
      </w:r>
      <w:r w:rsidRPr="00382A62">
        <w:rPr>
          <w:rFonts w:eastAsia="Arial" w:cs="Arial"/>
          <w:szCs w:val="20"/>
        </w:rPr>
        <w:t xml:space="preserve"> GJ / unidad producida, debido a la eficiencia mostrada en AIK y Retail según se comentó anteriormente.</w:t>
      </w:r>
    </w:p>
    <w:p w14:paraId="74528471" w14:textId="77777777" w:rsidR="007605E6" w:rsidRPr="00382A62" w:rsidRDefault="007605E6" w:rsidP="00147CF2">
      <w:pPr>
        <w:pStyle w:val="Prrafodelista"/>
        <w:numPr>
          <w:ilvl w:val="0"/>
          <w:numId w:val="37"/>
        </w:numPr>
        <w:rPr>
          <w:rFonts w:cs="Arial"/>
          <w:b/>
          <w:bCs/>
          <w:szCs w:val="20"/>
        </w:rPr>
      </w:pPr>
      <w:r w:rsidRPr="00382A62">
        <w:rPr>
          <w:rFonts w:cs="Arial"/>
          <w:b/>
          <w:bCs/>
          <w:szCs w:val="20"/>
        </w:rPr>
        <w:t>Emisiones de gases de efecto invernadero</w:t>
      </w:r>
    </w:p>
    <w:p w14:paraId="1CAFDEE9" w14:textId="549BDEA6" w:rsidR="007605E6" w:rsidRPr="00382A62" w:rsidRDefault="007605E6" w:rsidP="00190F0B">
      <w:pPr>
        <w:rPr>
          <w:rFonts w:cs="Arial"/>
          <w:szCs w:val="20"/>
        </w:rPr>
      </w:pPr>
      <w:r w:rsidRPr="00382A62">
        <w:rPr>
          <w:rFonts w:cs="Arial"/>
          <w:szCs w:val="20"/>
        </w:rPr>
        <w:t xml:space="preserve">A pesar de continuar con muchos retos a nivel mundial y a nivel país por las consecuencias de la pandemia, FIFCO mantiene su compromiso para garantizar que sus operaciones conserven el estatus de Carbono Positivo.  Aplica para Distribuidora La Florida, FIFCO Hospitalidad y FIFCO Retail en Costa Rica. </w:t>
      </w:r>
      <w:r w:rsidR="00190F0B" w:rsidRPr="00382A62">
        <w:rPr>
          <w:rFonts w:cs="Arial"/>
          <w:szCs w:val="20"/>
        </w:rPr>
        <w:t>Esto quiere decir que no sólo se mide y reduce la huella, sino que se compensa y supera el nivel de neutralidad, en más de un 20%, con el fin de generar un balance positivo.</w:t>
      </w:r>
    </w:p>
    <w:p w14:paraId="22074DDD" w14:textId="1ABA1260" w:rsidR="007605E6" w:rsidRPr="00382A62" w:rsidRDefault="007605E6" w:rsidP="000A7CB7">
      <w:pPr>
        <w:rPr>
          <w:rFonts w:cs="Arial"/>
          <w:szCs w:val="20"/>
        </w:rPr>
      </w:pPr>
      <w:r w:rsidRPr="00382A62">
        <w:rPr>
          <w:rFonts w:eastAsia="Arial" w:cs="Arial"/>
          <w:szCs w:val="20"/>
        </w:rPr>
        <w:lastRenderedPageBreak/>
        <w:t>De estas tres unidades de negocio FIFCO Retail y FIFCO Hospitalidad con los Hoteles Westin y W, alcanzaron en el 2022 el estatus de Carbono Neutral Plus, del Programa País de Carbono Neutralidad 2.0 del Gobierno de Costa Rica</w:t>
      </w:r>
      <w:r w:rsidR="008E474A" w:rsidRPr="00382A62">
        <w:rPr>
          <w:rFonts w:eastAsia="Arial" w:cs="Arial"/>
          <w:szCs w:val="20"/>
        </w:rPr>
        <w:t xml:space="preserve"> </w:t>
      </w:r>
      <w:r w:rsidR="000A7CB7" w:rsidRPr="00382A62">
        <w:rPr>
          <w:rFonts w:eastAsia="Arial" w:cs="Arial"/>
          <w:szCs w:val="20"/>
        </w:rPr>
        <w:t>como resultado del cálculo de huella de carbono organizacional.</w:t>
      </w:r>
    </w:p>
    <w:p w14:paraId="0D42DA20" w14:textId="377EB875" w:rsidR="007605E6" w:rsidRPr="00382A62" w:rsidRDefault="007605E6" w:rsidP="007605E6">
      <w:pPr>
        <w:rPr>
          <w:rFonts w:cs="Arial"/>
          <w:szCs w:val="20"/>
        </w:rPr>
      </w:pPr>
      <w:r w:rsidRPr="00382A62">
        <w:rPr>
          <w:rFonts w:cs="Arial"/>
          <w:szCs w:val="20"/>
        </w:rPr>
        <w:t>Las normas de referencia son INTE ISO 14064</w:t>
      </w:r>
      <w:r w:rsidR="00F053F3" w:rsidRPr="00382A62">
        <w:rPr>
          <w:rFonts w:cs="Arial"/>
          <w:szCs w:val="20"/>
        </w:rPr>
        <w:t>,</w:t>
      </w:r>
      <w:r w:rsidRPr="00382A62">
        <w:rPr>
          <w:rFonts w:cs="Arial"/>
          <w:szCs w:val="20"/>
        </w:rPr>
        <w:t xml:space="preserve"> la norma B5:2016 y los lineamientos en el marco del Programa País de Carbono Neutralidad 2.0 de Costa Rica.</w:t>
      </w:r>
    </w:p>
    <w:p w14:paraId="58B6B200" w14:textId="77777777" w:rsidR="007605E6" w:rsidRPr="00382A62" w:rsidRDefault="007605E6" w:rsidP="00147CF2">
      <w:pPr>
        <w:pStyle w:val="Ttulo3"/>
        <w:numPr>
          <w:ilvl w:val="1"/>
          <w:numId w:val="27"/>
        </w:numPr>
        <w:rPr>
          <w:rFonts w:cs="Arial"/>
          <w:sz w:val="20"/>
          <w:szCs w:val="20"/>
        </w:rPr>
      </w:pPr>
      <w:bookmarkStart w:id="250" w:name="_Toc131092919"/>
      <w:bookmarkStart w:id="251" w:name="_Toc131501120"/>
      <w:bookmarkStart w:id="252" w:name="_Toc169624679"/>
      <w:r w:rsidRPr="00382A62">
        <w:rPr>
          <w:rFonts w:cs="Arial"/>
          <w:sz w:val="20"/>
          <w:szCs w:val="20"/>
        </w:rPr>
        <w:t>Certificaciones ambientales y otros reconocimientos</w:t>
      </w:r>
      <w:bookmarkEnd w:id="250"/>
      <w:bookmarkEnd w:id="251"/>
      <w:bookmarkEnd w:id="252"/>
    </w:p>
    <w:p w14:paraId="1220E51A" w14:textId="77777777" w:rsidR="00DE7F24" w:rsidRPr="00382A62" w:rsidRDefault="00C7704C" w:rsidP="00C7704C">
      <w:pPr>
        <w:rPr>
          <w:rFonts w:cs="Arial"/>
          <w:szCs w:val="20"/>
        </w:rPr>
      </w:pPr>
      <w:r w:rsidRPr="00382A62">
        <w:rPr>
          <w:rFonts w:cs="Arial"/>
          <w:szCs w:val="20"/>
        </w:rPr>
        <w:t xml:space="preserve">Todos los procesos que se encuentran bajo un estándar de certificación se basan en la ejecución sistemática de acciones bajo el marco de mejora continua. Esto conlleva a establecer una serie de estrategias claras de alto nivel; tales como identificación de aspectos e impactos ambientales, identificación y evaluación de requisitos legales, formación y toma de conciencia de nuestro personal, control operación, seguimiento y medición, auditorias y revisiones por la Alta Dirección. </w:t>
      </w:r>
    </w:p>
    <w:p w14:paraId="2DB8C2FA" w14:textId="6CEB18BC" w:rsidR="007605E6" w:rsidRPr="00382A62" w:rsidRDefault="00C7704C" w:rsidP="00C7704C">
      <w:pPr>
        <w:rPr>
          <w:rFonts w:eastAsia="Arial" w:cs="Arial"/>
          <w:szCs w:val="20"/>
        </w:rPr>
      </w:pPr>
      <w:r w:rsidRPr="00382A62">
        <w:rPr>
          <w:rFonts w:cs="Arial"/>
          <w:szCs w:val="20"/>
        </w:rPr>
        <w:t>Respecto al periodo anterior, se mantienen todas las certificaciones ambientale</w:t>
      </w:r>
      <w:r w:rsidR="000F1309" w:rsidRPr="00382A62">
        <w:rPr>
          <w:rFonts w:cs="Arial"/>
          <w:szCs w:val="20"/>
        </w:rPr>
        <w:t>s</w:t>
      </w:r>
    </w:p>
    <w:p w14:paraId="241CC39E" w14:textId="137722E5" w:rsidR="007605E6" w:rsidRPr="00382A62" w:rsidRDefault="007605E6" w:rsidP="00147CF2">
      <w:pPr>
        <w:pStyle w:val="Ttulo3"/>
        <w:numPr>
          <w:ilvl w:val="1"/>
          <w:numId w:val="27"/>
        </w:numPr>
        <w:rPr>
          <w:rFonts w:cs="Arial"/>
          <w:sz w:val="20"/>
          <w:szCs w:val="20"/>
        </w:rPr>
      </w:pPr>
      <w:bookmarkStart w:id="253" w:name="_Toc131092920"/>
      <w:bookmarkStart w:id="254" w:name="_Toc131501121"/>
      <w:bookmarkStart w:id="255" w:name="_Toc169624680"/>
      <w:r w:rsidRPr="00382A62">
        <w:rPr>
          <w:rFonts w:cs="Arial"/>
          <w:sz w:val="20"/>
          <w:szCs w:val="20"/>
        </w:rPr>
        <w:t>Quejas</w:t>
      </w:r>
      <w:r w:rsidR="00F053F3" w:rsidRPr="00382A62">
        <w:rPr>
          <w:rFonts w:cs="Arial"/>
          <w:sz w:val="20"/>
          <w:szCs w:val="20"/>
        </w:rPr>
        <w:t>,</w:t>
      </w:r>
      <w:r w:rsidRPr="00382A62">
        <w:rPr>
          <w:rFonts w:cs="Arial"/>
          <w:sz w:val="20"/>
          <w:szCs w:val="20"/>
        </w:rPr>
        <w:t xml:space="preserve"> denuncias y sanciones</w:t>
      </w:r>
      <w:bookmarkEnd w:id="253"/>
      <w:bookmarkEnd w:id="254"/>
      <w:bookmarkEnd w:id="255"/>
    </w:p>
    <w:p w14:paraId="7E895338" w14:textId="667898ED" w:rsidR="007605E6" w:rsidRPr="00382A62" w:rsidRDefault="007605E6" w:rsidP="007605E6">
      <w:pPr>
        <w:rPr>
          <w:rFonts w:cs="Arial"/>
          <w:szCs w:val="20"/>
        </w:rPr>
      </w:pPr>
      <w:r w:rsidRPr="00382A62">
        <w:rPr>
          <w:rFonts w:eastAsia="Calibri" w:cs="Arial"/>
          <w:szCs w:val="20"/>
        </w:rPr>
        <w:t>La Organización no ha sido sujeta a sanciones ambientales de carácter administrativo, legal o financiera en el periodo reportado</w:t>
      </w:r>
      <w:r w:rsidRPr="00382A62">
        <w:rPr>
          <w:rFonts w:cs="Arial"/>
          <w:szCs w:val="20"/>
        </w:rPr>
        <w:t>.</w:t>
      </w:r>
    </w:p>
    <w:p w14:paraId="754A8ED7" w14:textId="77777777" w:rsidR="007605E6" w:rsidRPr="00382A62" w:rsidRDefault="007605E6" w:rsidP="00147CF2">
      <w:pPr>
        <w:pStyle w:val="Ttulo3"/>
        <w:numPr>
          <w:ilvl w:val="1"/>
          <w:numId w:val="27"/>
        </w:numPr>
        <w:rPr>
          <w:rFonts w:cs="Arial"/>
          <w:sz w:val="20"/>
          <w:szCs w:val="20"/>
        </w:rPr>
      </w:pPr>
      <w:bookmarkStart w:id="256" w:name="_Toc131092921"/>
      <w:bookmarkStart w:id="257" w:name="_Toc131501122"/>
      <w:bookmarkStart w:id="258" w:name="_Toc169624681"/>
      <w:r w:rsidRPr="00382A62">
        <w:rPr>
          <w:rFonts w:cs="Arial"/>
          <w:sz w:val="20"/>
          <w:szCs w:val="20"/>
        </w:rPr>
        <w:t>Biodiversidad</w:t>
      </w:r>
      <w:bookmarkEnd w:id="256"/>
      <w:bookmarkEnd w:id="257"/>
      <w:bookmarkEnd w:id="258"/>
    </w:p>
    <w:p w14:paraId="4856C5EA" w14:textId="7BEF2631" w:rsidR="007605E6" w:rsidRPr="00382A62" w:rsidRDefault="00FE37C7" w:rsidP="00E34C66">
      <w:pPr>
        <w:rPr>
          <w:rFonts w:cs="Arial"/>
          <w:szCs w:val="20"/>
        </w:rPr>
      </w:pPr>
      <w:r w:rsidRPr="00382A62">
        <w:rPr>
          <w:rFonts w:eastAsia="Arial" w:cs="Arial"/>
          <w:szCs w:val="20"/>
        </w:rPr>
        <w:t>Por el uso indiscriminado de los recursos naturales de parte de las acciones humanas, poniendo en riesgo la supervivencia de muchas especies y la capacidad de adaptación de la naturaleza. Es urgente tomar medidas para conservar y restaurar la biodiversidad, como una forma de garantizar la supervivencia de todas las formas de vida</w:t>
      </w:r>
      <w:r w:rsidR="007605E6" w:rsidRPr="00382A62">
        <w:rPr>
          <w:rFonts w:eastAsia="Arial" w:cs="Arial"/>
          <w:szCs w:val="20"/>
        </w:rPr>
        <w:t>.</w:t>
      </w:r>
      <w:r w:rsidR="00E34C66" w:rsidRPr="00382A62">
        <w:rPr>
          <w:rFonts w:cs="Arial"/>
          <w:szCs w:val="20"/>
        </w:rPr>
        <w:t xml:space="preserve"> </w:t>
      </w:r>
      <w:r w:rsidR="00E34C66" w:rsidRPr="00382A62">
        <w:rPr>
          <w:rFonts w:eastAsia="Arial" w:cs="Arial"/>
          <w:szCs w:val="20"/>
        </w:rPr>
        <w:t>Tomando esta premisa, parte de los principios de FIFCO, es ser un referente en la producción sostenible y en armonía con la naturaleza. Los esfuerzos se enfocan en invertir en iniciativas y procesos que además de reducir o compensar el impacto en los recursos naturales, promueva la conservación.</w:t>
      </w:r>
    </w:p>
    <w:p w14:paraId="23052F90" w14:textId="77777777" w:rsidR="00A36632" w:rsidRPr="00382A62" w:rsidRDefault="007605E6" w:rsidP="00A36632">
      <w:pPr>
        <w:rPr>
          <w:rFonts w:eastAsia="Arial" w:cs="Arial"/>
          <w:szCs w:val="20"/>
        </w:rPr>
      </w:pPr>
      <w:r w:rsidRPr="00382A62">
        <w:rPr>
          <w:rFonts w:eastAsia="Arial" w:cs="Arial"/>
          <w:szCs w:val="20"/>
        </w:rPr>
        <w:t xml:space="preserve">Las iniciativas enfocadas en la protección de la biodiversidad en sus áreas y operaciones de influencia y sus estrategias incluyen: </w:t>
      </w:r>
      <w:r w:rsidR="00A36632" w:rsidRPr="00382A62">
        <w:rPr>
          <w:rFonts w:eastAsia="Arial" w:cs="Arial"/>
          <w:szCs w:val="20"/>
        </w:rPr>
        <w:t>Las áreas verdes de Planta Cerveza y Planta Refrescos, pertenecen al Corredor Biológico Interurbano (CBI)- Cubujuquí. El proyecto es la restauración de hábitats naturales urbanos, su objetivo es regenerar las áreas verdes de las plantas productivas para que funcionen como refugios climáticos para las especies de la zona de influencia del CBI y, a su vez, brinden conectividad entre otras áreas naturales para su traslado. Como primera actividad, se realizó un conteo de aves navideño en las instalaciones, encontrando 35 especies, incluyendo aves migratorias. Los datos fueron ingresados en la base de datos de la Sistema Nacional del Áreas Protegidas (SINAC) y en las bases de datos de la Universidad de Cornell, USA.</w:t>
      </w:r>
    </w:p>
    <w:p w14:paraId="0F66B250" w14:textId="6A45CCC3" w:rsidR="0030337C" w:rsidRDefault="007605E6" w:rsidP="00644401">
      <w:pPr>
        <w:rPr>
          <w:rFonts w:eastAsia="Arial" w:cs="Arial"/>
          <w:szCs w:val="20"/>
        </w:rPr>
      </w:pPr>
      <w:r w:rsidRPr="00382A62">
        <w:rPr>
          <w:rFonts w:eastAsia="Arial" w:cs="Arial"/>
          <w:szCs w:val="20"/>
        </w:rPr>
        <w:t>Durante el 202</w:t>
      </w:r>
      <w:r w:rsidR="00405CC4" w:rsidRPr="00382A62">
        <w:rPr>
          <w:rFonts w:eastAsia="Arial" w:cs="Arial"/>
          <w:szCs w:val="20"/>
        </w:rPr>
        <w:t>3</w:t>
      </w:r>
      <w:r w:rsidRPr="00382A62">
        <w:rPr>
          <w:rFonts w:eastAsia="Arial" w:cs="Arial"/>
          <w:szCs w:val="20"/>
        </w:rPr>
        <w:t xml:space="preserve"> </w:t>
      </w:r>
      <w:r w:rsidR="00405CC4" w:rsidRPr="00382A62">
        <w:rPr>
          <w:rFonts w:eastAsia="Arial" w:cs="Arial"/>
          <w:szCs w:val="20"/>
        </w:rPr>
        <w:t xml:space="preserve">Reserva Conchal destina el 4% del área total de su propiedad para formar parte del Refugio Nacional de Vida Silvestre Mixto Conchal. A lo largo del año se realizan labores por salvaguardar el bienestar de su ecosistema de manera que se den procesos de regeneración natural importantes para el bosque tropical seco </w:t>
      </w:r>
      <w:r w:rsidR="00405CC4" w:rsidRPr="00382A62">
        <w:rPr>
          <w:rFonts w:eastAsia="Arial" w:cs="Arial"/>
          <w:szCs w:val="20"/>
        </w:rPr>
        <w:lastRenderedPageBreak/>
        <w:t>transición a húmedo</w:t>
      </w:r>
      <w:r w:rsidRPr="00382A62">
        <w:rPr>
          <w:rFonts w:eastAsia="Arial" w:cs="Arial"/>
          <w:szCs w:val="20"/>
        </w:rPr>
        <w:t>.</w:t>
      </w:r>
      <w:r w:rsidR="0030337C">
        <w:rPr>
          <w:rFonts w:eastAsia="Arial" w:cs="Arial"/>
          <w:szCs w:val="20"/>
        </w:rPr>
        <w:t xml:space="preserve"> </w:t>
      </w:r>
      <w:r w:rsidR="00644401" w:rsidRPr="00382A62">
        <w:rPr>
          <w:rFonts w:eastAsia="Arial" w:cs="Arial"/>
          <w:szCs w:val="20"/>
        </w:rPr>
        <w:t>En 2023 se invirtió en la protección de 700 ha por medio del programa nacional de Pagos por Servicios Ambientales-PSA, coordinado por el Fondo Nacional de Financiamiento Forestal- FONAFIFO y por medio de la iniciativa de Agua Tica, el primer Fondo de Agua del país, gestionado por Fundecor y del cual FIFCO es constituyente desde sus inicios en el 2018</w:t>
      </w:r>
      <w:r w:rsidR="00CE6E01">
        <w:rPr>
          <w:rFonts w:eastAsia="Arial" w:cs="Arial"/>
          <w:szCs w:val="20"/>
        </w:rPr>
        <w:t>.</w:t>
      </w:r>
    </w:p>
    <w:p w14:paraId="6B7D61B8" w14:textId="77777777" w:rsidR="0030337C" w:rsidRDefault="0030337C">
      <w:pPr>
        <w:spacing w:line="259" w:lineRule="auto"/>
        <w:jc w:val="left"/>
        <w:rPr>
          <w:rFonts w:eastAsia="Arial" w:cs="Arial"/>
          <w:szCs w:val="20"/>
        </w:rPr>
      </w:pPr>
      <w:r>
        <w:rPr>
          <w:rFonts w:eastAsia="Arial" w:cs="Arial"/>
          <w:szCs w:val="20"/>
        </w:rPr>
        <w:br w:type="page"/>
      </w:r>
    </w:p>
    <w:p w14:paraId="763AEF12" w14:textId="6595909F" w:rsidR="008B2456" w:rsidRDefault="00B35B60" w:rsidP="00644401">
      <w:pPr>
        <w:rPr>
          <w:rFonts w:eastAsia="Arial" w:cs="Arial"/>
          <w:szCs w:val="20"/>
        </w:rPr>
      </w:pPr>
      <w:r w:rsidRPr="00382A62">
        <w:rPr>
          <w:rFonts w:cs="Arial"/>
          <w:noProof/>
          <w:szCs w:val="20"/>
        </w:rPr>
        <w:lastRenderedPageBreak/>
        <w:drawing>
          <wp:anchor distT="0" distB="0" distL="114300" distR="114300" simplePos="0" relativeHeight="251701248" behindDoc="0" locked="0" layoutInCell="1" allowOverlap="1" wp14:anchorId="32244C2B" wp14:editId="35DA16B4">
            <wp:simplePos x="0" y="0"/>
            <wp:positionH relativeFrom="page">
              <wp:align>left</wp:align>
            </wp:positionH>
            <wp:positionV relativeFrom="paragraph">
              <wp:posOffset>-900622</wp:posOffset>
            </wp:positionV>
            <wp:extent cx="7942997" cy="10042066"/>
            <wp:effectExtent l="0" t="0" r="1270" b="0"/>
            <wp:wrapNone/>
            <wp:docPr id="16" name="Imagen 1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 Word&#10;&#10;Descripción generada automáticamente"/>
                    <pic:cNvPicPr/>
                  </pic:nvPicPr>
                  <pic:blipFill rotWithShape="1">
                    <a:blip r:embed="rId27">
                      <a:extLst>
                        <a:ext uri="{28A0092B-C50C-407E-A947-70E740481C1C}">
                          <a14:useLocalDpi xmlns:a14="http://schemas.microsoft.com/office/drawing/2010/main" val="0"/>
                        </a:ext>
                      </a:extLst>
                    </a:blip>
                    <a:srcRect l="67804" t="21991" r="17693" b="12816"/>
                    <a:stretch/>
                  </pic:blipFill>
                  <pic:spPr bwMode="auto">
                    <a:xfrm>
                      <a:off x="0" y="0"/>
                      <a:ext cx="7942997" cy="100420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86FEEE" w14:textId="43927B6B" w:rsidR="00E634EA" w:rsidRPr="00382A62" w:rsidRDefault="00E634EA" w:rsidP="00E634EA">
      <w:pPr>
        <w:rPr>
          <w:rFonts w:eastAsia="Arial" w:cs="Arial"/>
          <w:szCs w:val="20"/>
        </w:rPr>
      </w:pPr>
    </w:p>
    <w:p w14:paraId="06E63224" w14:textId="77777777" w:rsidR="00E634EA" w:rsidRPr="00382A62" w:rsidRDefault="00E634EA" w:rsidP="00E634EA">
      <w:pPr>
        <w:rPr>
          <w:rFonts w:cs="Arial"/>
          <w:color w:val="FFFFFF" w:themeColor="background1"/>
          <w:szCs w:val="20"/>
        </w:rPr>
      </w:pPr>
    </w:p>
    <w:p w14:paraId="04E7F2AE" w14:textId="77777777" w:rsidR="00E634EA" w:rsidRPr="00382A62" w:rsidRDefault="00E634EA" w:rsidP="00E634EA">
      <w:pPr>
        <w:rPr>
          <w:rFonts w:cs="Arial"/>
          <w:color w:val="FFFFFF" w:themeColor="background1"/>
          <w:szCs w:val="20"/>
        </w:rPr>
      </w:pPr>
    </w:p>
    <w:p w14:paraId="40682E48" w14:textId="77777777" w:rsidR="00E634EA" w:rsidRPr="00382A62" w:rsidRDefault="00E634EA" w:rsidP="00E634EA">
      <w:pPr>
        <w:rPr>
          <w:rFonts w:cs="Arial"/>
          <w:color w:val="FFFFFF" w:themeColor="background1"/>
          <w:szCs w:val="20"/>
        </w:rPr>
      </w:pPr>
    </w:p>
    <w:p w14:paraId="50C53ECC" w14:textId="77777777" w:rsidR="00E634EA" w:rsidRPr="00382A62" w:rsidRDefault="00E634EA" w:rsidP="00E634EA">
      <w:pPr>
        <w:rPr>
          <w:rFonts w:cs="Arial"/>
          <w:color w:val="FFFFFF" w:themeColor="background1"/>
          <w:szCs w:val="20"/>
        </w:rPr>
      </w:pPr>
    </w:p>
    <w:p w14:paraId="0A5EF29F" w14:textId="77777777" w:rsidR="00E634EA" w:rsidRPr="00382A62" w:rsidRDefault="00E634EA" w:rsidP="00E634EA">
      <w:pPr>
        <w:rPr>
          <w:rFonts w:cs="Arial"/>
          <w:color w:val="FFFFFF" w:themeColor="background1"/>
          <w:szCs w:val="20"/>
        </w:rPr>
      </w:pPr>
    </w:p>
    <w:p w14:paraId="43799E1B" w14:textId="77777777" w:rsidR="00E634EA" w:rsidRPr="00382A62" w:rsidRDefault="00E634EA" w:rsidP="00E634EA">
      <w:pPr>
        <w:rPr>
          <w:rFonts w:cs="Arial"/>
          <w:color w:val="FFFFFF" w:themeColor="background1"/>
          <w:szCs w:val="20"/>
        </w:rPr>
      </w:pPr>
    </w:p>
    <w:p w14:paraId="5104140E" w14:textId="77777777" w:rsidR="00E634EA" w:rsidRPr="00382A62" w:rsidRDefault="00E634EA" w:rsidP="00E634EA">
      <w:pPr>
        <w:rPr>
          <w:rFonts w:cs="Arial"/>
          <w:color w:val="FFFFFF" w:themeColor="background1"/>
          <w:szCs w:val="20"/>
        </w:rPr>
      </w:pPr>
    </w:p>
    <w:p w14:paraId="5D1D4190" w14:textId="77777777" w:rsidR="00E634EA" w:rsidRPr="00382A62" w:rsidRDefault="00E634EA" w:rsidP="00E634EA">
      <w:pPr>
        <w:rPr>
          <w:rFonts w:cs="Arial"/>
          <w:color w:val="FFFFFF" w:themeColor="background1"/>
          <w:szCs w:val="20"/>
        </w:rPr>
      </w:pPr>
    </w:p>
    <w:p w14:paraId="34A9489E" w14:textId="77777777" w:rsidR="00E634EA" w:rsidRPr="00382A62" w:rsidRDefault="00E634EA" w:rsidP="00E634EA">
      <w:pPr>
        <w:rPr>
          <w:rFonts w:cs="Arial"/>
          <w:color w:val="FFFFFF" w:themeColor="background1"/>
          <w:szCs w:val="20"/>
        </w:rPr>
      </w:pPr>
    </w:p>
    <w:p w14:paraId="13D37C76" w14:textId="77777777" w:rsidR="00E634EA" w:rsidRPr="00382A62" w:rsidRDefault="00E634EA" w:rsidP="00E634EA">
      <w:pPr>
        <w:rPr>
          <w:rFonts w:cs="Arial"/>
          <w:color w:val="FFFFFF" w:themeColor="background1"/>
          <w:szCs w:val="20"/>
        </w:rPr>
      </w:pPr>
    </w:p>
    <w:p w14:paraId="793829CE" w14:textId="77777777" w:rsidR="00E634EA" w:rsidRPr="00382A62" w:rsidRDefault="00E634EA" w:rsidP="00E634EA">
      <w:pPr>
        <w:rPr>
          <w:rFonts w:cs="Arial"/>
          <w:color w:val="FFFFFF" w:themeColor="background1"/>
          <w:szCs w:val="20"/>
        </w:rPr>
      </w:pPr>
    </w:p>
    <w:p w14:paraId="0CA749EE" w14:textId="77777777" w:rsidR="00E634EA" w:rsidRPr="00382A62" w:rsidRDefault="00E634EA" w:rsidP="00E634EA">
      <w:pPr>
        <w:rPr>
          <w:rFonts w:cs="Arial"/>
          <w:color w:val="FFFFFF" w:themeColor="background1"/>
          <w:szCs w:val="20"/>
        </w:rPr>
      </w:pPr>
    </w:p>
    <w:p w14:paraId="29CD9BB1" w14:textId="77777777" w:rsidR="00E634EA" w:rsidRPr="00382A62" w:rsidRDefault="00E634EA" w:rsidP="00E634EA">
      <w:pPr>
        <w:rPr>
          <w:rFonts w:cs="Arial"/>
          <w:color w:val="FFFFFF" w:themeColor="background1"/>
          <w:szCs w:val="20"/>
        </w:rPr>
      </w:pPr>
    </w:p>
    <w:p w14:paraId="494938A1" w14:textId="77777777" w:rsidR="00E634EA" w:rsidRPr="00382A62" w:rsidRDefault="00E634EA" w:rsidP="00E634EA">
      <w:pPr>
        <w:rPr>
          <w:rFonts w:cs="Arial"/>
          <w:color w:val="FFFFFF" w:themeColor="background1"/>
          <w:szCs w:val="20"/>
        </w:rPr>
      </w:pPr>
    </w:p>
    <w:p w14:paraId="752A9131" w14:textId="77777777" w:rsidR="00E634EA" w:rsidRPr="00382A62" w:rsidRDefault="00E634EA" w:rsidP="00E634EA">
      <w:pPr>
        <w:rPr>
          <w:rFonts w:cs="Arial"/>
          <w:color w:val="FFFFFF" w:themeColor="background1"/>
          <w:szCs w:val="20"/>
        </w:rPr>
      </w:pPr>
    </w:p>
    <w:p w14:paraId="136A2C79" w14:textId="13F43291" w:rsidR="002C1165" w:rsidRPr="00382A62" w:rsidRDefault="002C1165" w:rsidP="002925C7">
      <w:pPr>
        <w:pStyle w:val="Ttulo1"/>
        <w:rPr>
          <w:rFonts w:cs="Arial"/>
          <w:sz w:val="20"/>
          <w:szCs w:val="20"/>
        </w:rPr>
      </w:pPr>
      <w:bookmarkStart w:id="259" w:name="_Toc169624682"/>
      <w:r w:rsidRPr="00382A62">
        <w:rPr>
          <w:rFonts w:cs="Arial"/>
          <w:sz w:val="20"/>
          <w:szCs w:val="20"/>
        </w:rPr>
        <w:t>Capítulo 5.</w:t>
      </w:r>
      <w:bookmarkEnd w:id="259"/>
    </w:p>
    <w:p w14:paraId="760959FC" w14:textId="367BC474" w:rsidR="00F610AC" w:rsidRPr="00382A62" w:rsidRDefault="002C1165" w:rsidP="002C1165">
      <w:pPr>
        <w:pStyle w:val="Ttulo1"/>
        <w:rPr>
          <w:rFonts w:cs="Arial"/>
          <w:sz w:val="20"/>
          <w:szCs w:val="20"/>
        </w:rPr>
      </w:pPr>
      <w:bookmarkStart w:id="260" w:name="_Toc131501123"/>
      <w:bookmarkStart w:id="261" w:name="_Toc169624683"/>
      <w:r w:rsidRPr="00382A62">
        <w:rPr>
          <w:rFonts w:cs="Arial"/>
          <w:sz w:val="20"/>
          <w:szCs w:val="20"/>
        </w:rPr>
        <w:t>Directores, personal gerencial y empleados</w:t>
      </w:r>
      <w:bookmarkEnd w:id="260"/>
      <w:bookmarkEnd w:id="261"/>
    </w:p>
    <w:p w14:paraId="7E340B1D" w14:textId="6E88A998" w:rsidR="00F610AC" w:rsidRPr="00382A62" w:rsidRDefault="00F610AC" w:rsidP="00665C8A">
      <w:pPr>
        <w:pStyle w:val="Ttulo1"/>
        <w:rPr>
          <w:rFonts w:cs="Arial"/>
          <w:color w:val="auto"/>
          <w:sz w:val="20"/>
          <w:szCs w:val="20"/>
        </w:rPr>
      </w:pPr>
    </w:p>
    <w:p w14:paraId="3CD7D018" w14:textId="6DB8F153" w:rsidR="00F610AC" w:rsidRPr="00382A62" w:rsidRDefault="00F610AC" w:rsidP="00E23B2F">
      <w:pPr>
        <w:pStyle w:val="Ttulo1"/>
        <w:jc w:val="center"/>
        <w:rPr>
          <w:rFonts w:cs="Arial"/>
          <w:color w:val="auto"/>
          <w:sz w:val="20"/>
          <w:szCs w:val="20"/>
        </w:rPr>
      </w:pPr>
    </w:p>
    <w:p w14:paraId="288EB634" w14:textId="77777777" w:rsidR="00F610AC" w:rsidRPr="00382A62" w:rsidRDefault="00F610AC" w:rsidP="00665C8A">
      <w:pPr>
        <w:pStyle w:val="Ttulo1"/>
        <w:rPr>
          <w:rFonts w:cs="Arial"/>
          <w:color w:val="auto"/>
          <w:sz w:val="20"/>
          <w:szCs w:val="20"/>
        </w:rPr>
      </w:pPr>
    </w:p>
    <w:p w14:paraId="7EDBC394" w14:textId="4FEB01E5" w:rsidR="00F610AC" w:rsidRPr="00382A62" w:rsidRDefault="00F610AC" w:rsidP="00F610AC">
      <w:pPr>
        <w:rPr>
          <w:rFonts w:cs="Arial"/>
          <w:szCs w:val="20"/>
        </w:rPr>
      </w:pPr>
    </w:p>
    <w:p w14:paraId="05B49539" w14:textId="7BCD55D0" w:rsidR="00F610AC" w:rsidRPr="00382A62" w:rsidRDefault="00F610AC" w:rsidP="00F610AC">
      <w:pPr>
        <w:rPr>
          <w:rFonts w:cs="Arial"/>
          <w:szCs w:val="20"/>
        </w:rPr>
      </w:pPr>
    </w:p>
    <w:p w14:paraId="66EAF27D" w14:textId="663B20F2" w:rsidR="002C1165" w:rsidRPr="00382A62" w:rsidRDefault="003D18F8" w:rsidP="002F706B">
      <w:pPr>
        <w:rPr>
          <w:rFonts w:cs="Arial"/>
          <w:szCs w:val="20"/>
        </w:rPr>
      </w:pPr>
      <w:r w:rsidRPr="00382A62">
        <w:rPr>
          <w:rFonts w:cs="Arial"/>
          <w:szCs w:val="20"/>
        </w:rPr>
        <w:lastRenderedPageBreak/>
        <w:t>La Junta Directiva</w:t>
      </w:r>
      <w:r w:rsidR="006F2E73" w:rsidRPr="00382A62">
        <w:rPr>
          <w:rFonts w:cs="Arial"/>
          <w:szCs w:val="20"/>
        </w:rPr>
        <w:t xml:space="preserve"> de la empresa </w:t>
      </w:r>
      <w:r w:rsidR="00B80E0C" w:rsidRPr="00382A62">
        <w:rPr>
          <w:rFonts w:cs="Arial"/>
          <w:szCs w:val="20"/>
        </w:rPr>
        <w:t>está</w:t>
      </w:r>
      <w:r w:rsidR="006F2E73" w:rsidRPr="00382A62">
        <w:rPr>
          <w:rFonts w:cs="Arial"/>
          <w:szCs w:val="20"/>
        </w:rPr>
        <w:t xml:space="preserve"> compuesta </w:t>
      </w:r>
      <w:r w:rsidR="00FD5521" w:rsidRPr="00382A62">
        <w:rPr>
          <w:rFonts w:cs="Arial"/>
          <w:szCs w:val="20"/>
        </w:rPr>
        <w:t>por 7 miembros</w:t>
      </w:r>
      <w:r w:rsidR="002925C7" w:rsidRPr="00382A62">
        <w:rPr>
          <w:rFonts w:cs="Arial"/>
          <w:szCs w:val="20"/>
        </w:rPr>
        <w:t>,</w:t>
      </w:r>
      <w:r w:rsidR="00FD5521" w:rsidRPr="00382A62">
        <w:rPr>
          <w:rFonts w:cs="Arial"/>
          <w:szCs w:val="20"/>
        </w:rPr>
        <w:t xml:space="preserve"> </w:t>
      </w:r>
      <w:r w:rsidR="002925C7" w:rsidRPr="00382A62">
        <w:rPr>
          <w:rFonts w:cs="Arial"/>
          <w:szCs w:val="20"/>
        </w:rPr>
        <w:t xml:space="preserve">los directores fueron electos según acuerdo tomado en Asamblea General Ordinaria de Accionistas celebrada el </w:t>
      </w:r>
      <w:r w:rsidR="00EC4E9B" w:rsidRPr="00382A62">
        <w:rPr>
          <w:rFonts w:cs="Arial"/>
          <w:szCs w:val="20"/>
        </w:rPr>
        <w:t xml:space="preserve">19 </w:t>
      </w:r>
      <w:r w:rsidR="002925C7" w:rsidRPr="00382A62">
        <w:rPr>
          <w:rFonts w:cs="Arial"/>
          <w:szCs w:val="20"/>
        </w:rPr>
        <w:t xml:space="preserve">de </w:t>
      </w:r>
      <w:r w:rsidR="00EC4E9B" w:rsidRPr="00382A62">
        <w:rPr>
          <w:rFonts w:cs="Arial"/>
          <w:szCs w:val="20"/>
        </w:rPr>
        <w:t>marzo</w:t>
      </w:r>
      <w:r w:rsidR="002925C7" w:rsidRPr="00382A62">
        <w:rPr>
          <w:rFonts w:cs="Arial"/>
          <w:szCs w:val="20"/>
        </w:rPr>
        <w:t xml:space="preserve"> de 202</w:t>
      </w:r>
      <w:r w:rsidR="00EC4E9B" w:rsidRPr="00382A62">
        <w:rPr>
          <w:rFonts w:cs="Arial"/>
          <w:szCs w:val="20"/>
        </w:rPr>
        <w:t>3</w:t>
      </w:r>
      <w:r w:rsidR="002925C7" w:rsidRPr="00382A62">
        <w:rPr>
          <w:rFonts w:cs="Arial"/>
          <w:szCs w:val="20"/>
        </w:rPr>
        <w:t xml:space="preserve"> por el </w:t>
      </w:r>
      <w:r w:rsidR="005E713E" w:rsidRPr="00382A62">
        <w:rPr>
          <w:rFonts w:cs="Arial"/>
          <w:szCs w:val="20"/>
        </w:rPr>
        <w:t>periodo del 01 abril del 2024 al 31 de marzo del 2026</w:t>
      </w:r>
      <w:r w:rsidR="00891AA5" w:rsidRPr="00382A62">
        <w:rPr>
          <w:rFonts w:cs="Arial"/>
          <w:szCs w:val="20"/>
        </w:rPr>
        <w:t xml:space="preserve">. A </w:t>
      </w:r>
      <w:r w:rsidR="001A57C1" w:rsidRPr="00382A62">
        <w:rPr>
          <w:rFonts w:cs="Arial"/>
          <w:szCs w:val="20"/>
        </w:rPr>
        <w:t>continuación,</w:t>
      </w:r>
      <w:r w:rsidR="00891AA5" w:rsidRPr="00382A62">
        <w:rPr>
          <w:rFonts w:cs="Arial"/>
          <w:szCs w:val="20"/>
        </w:rPr>
        <w:t xml:space="preserve"> información de cada director, así como su fotografía</w:t>
      </w:r>
      <w:r w:rsidR="00FD5521" w:rsidRPr="00382A62">
        <w:rPr>
          <w:rFonts w:cs="Arial"/>
          <w:szCs w:val="20"/>
        </w:rPr>
        <w:t>:</w:t>
      </w:r>
    </w:p>
    <w:p w14:paraId="0146E1CA" w14:textId="58D13550" w:rsidR="007605E6" w:rsidRPr="00382A62" w:rsidRDefault="007605E6" w:rsidP="007605E6">
      <w:pPr>
        <w:pStyle w:val="Descripcin"/>
        <w:spacing w:after="120" w:line="240" w:lineRule="auto"/>
        <w:rPr>
          <w:rFonts w:cs="Arial"/>
          <w:szCs w:val="20"/>
        </w:rPr>
      </w:pPr>
      <w:bookmarkStart w:id="262" w:name="_Toc131094407"/>
      <w:r w:rsidRPr="00382A62">
        <w:rPr>
          <w:rFonts w:cs="Arial"/>
          <w:szCs w:val="20"/>
        </w:rPr>
        <w:t xml:space="preserve">Ilustración </w:t>
      </w:r>
      <w:r w:rsidR="00147CF2" w:rsidRPr="00382A62">
        <w:rPr>
          <w:rFonts w:cs="Arial"/>
          <w:szCs w:val="20"/>
        </w:rPr>
        <w:t>1</w:t>
      </w:r>
      <w:r w:rsidRPr="00382A62">
        <w:rPr>
          <w:rFonts w:cs="Arial"/>
          <w:szCs w:val="20"/>
        </w:rPr>
        <w:t xml:space="preserve"> - Junta Directiva vigente</w:t>
      </w:r>
      <w:bookmarkEnd w:id="262"/>
    </w:p>
    <w:p w14:paraId="1750C30C" w14:textId="77777777" w:rsidR="007605E6" w:rsidRPr="00382A62" w:rsidRDefault="007605E6" w:rsidP="007605E6">
      <w:pPr>
        <w:spacing w:after="0"/>
        <w:jc w:val="center"/>
        <w:rPr>
          <w:rFonts w:cs="Arial"/>
          <w:b/>
          <w:bCs/>
          <w:color w:val="4472C4" w:themeColor="accent1"/>
          <w:szCs w:val="20"/>
        </w:rPr>
      </w:pPr>
      <w:r w:rsidRPr="00382A62">
        <w:rPr>
          <w:rFonts w:cs="Arial"/>
          <w:b/>
          <w:bCs/>
          <w:noProof/>
          <w:color w:val="4472C4" w:themeColor="accent1"/>
          <w:szCs w:val="20"/>
        </w:rPr>
        <w:drawing>
          <wp:inline distT="0" distB="0" distL="0" distR="0" wp14:anchorId="3494D0EF" wp14:editId="4C202562">
            <wp:extent cx="3086100" cy="2057400"/>
            <wp:effectExtent l="0" t="0" r="0" b="0"/>
            <wp:docPr id="4" name="Imagen 4" descr="Imagen que contiene suelo, persona, interior,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1-89.jpg"/>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3116016" cy="2077344"/>
                    </a:xfrm>
                    <a:prstGeom prst="rect">
                      <a:avLst/>
                    </a:prstGeom>
                  </pic:spPr>
                </pic:pic>
              </a:graphicData>
            </a:graphic>
          </wp:inline>
        </w:drawing>
      </w:r>
    </w:p>
    <w:p w14:paraId="06039ADF" w14:textId="6EE64A9E" w:rsidR="007605E6" w:rsidRPr="00382A62" w:rsidRDefault="007605E6" w:rsidP="007605E6">
      <w:pPr>
        <w:pStyle w:val="Descripcin"/>
        <w:spacing w:after="120" w:line="240" w:lineRule="auto"/>
        <w:rPr>
          <w:rFonts w:cs="Arial"/>
          <w:szCs w:val="20"/>
        </w:rPr>
      </w:pPr>
      <w:r w:rsidRPr="00382A62">
        <w:rPr>
          <w:rFonts w:cs="Arial"/>
          <w:szCs w:val="20"/>
        </w:rPr>
        <w:t xml:space="preserve">Tabla </w:t>
      </w:r>
      <w:r w:rsidR="00834FD6">
        <w:rPr>
          <w:rFonts w:cs="Arial"/>
          <w:szCs w:val="20"/>
        </w:rPr>
        <w:t>48</w:t>
      </w:r>
      <w:r w:rsidRPr="00382A62">
        <w:rPr>
          <w:rFonts w:cs="Arial"/>
          <w:szCs w:val="20"/>
        </w:rPr>
        <w:t xml:space="preserve"> - Junta Directiva vigente hasta el 31 de marzo 202</w:t>
      </w:r>
      <w:r w:rsidR="001A0836" w:rsidRPr="00382A62">
        <w:rPr>
          <w:rFonts w:cs="Arial"/>
          <w:szCs w:val="20"/>
        </w:rPr>
        <w:t>6</w:t>
      </w:r>
    </w:p>
    <w:tbl>
      <w:tblPr>
        <w:tblW w:w="863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58"/>
        <w:gridCol w:w="2977"/>
        <w:gridCol w:w="3402"/>
      </w:tblGrid>
      <w:tr w:rsidR="007605E6" w:rsidRPr="00382A62" w14:paraId="697A38FD" w14:textId="77777777" w:rsidTr="007D00B2">
        <w:trPr>
          <w:trHeight w:val="227"/>
          <w:tblHeader/>
          <w:jc w:val="center"/>
        </w:trPr>
        <w:tc>
          <w:tcPr>
            <w:tcW w:w="2258" w:type="dxa"/>
            <w:shd w:val="clear" w:color="auto" w:fill="F2F2F2" w:themeFill="background1" w:themeFillShade="F2"/>
            <w:noWrap/>
            <w:vAlign w:val="center"/>
            <w:hideMark/>
          </w:tcPr>
          <w:p w14:paraId="535908BB"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Cargo</w:t>
            </w:r>
          </w:p>
        </w:tc>
        <w:tc>
          <w:tcPr>
            <w:tcW w:w="2977" w:type="dxa"/>
            <w:shd w:val="clear" w:color="auto" w:fill="F2F2F2" w:themeFill="background1" w:themeFillShade="F2"/>
            <w:noWrap/>
            <w:vAlign w:val="center"/>
            <w:hideMark/>
          </w:tcPr>
          <w:p w14:paraId="19B0DA78"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Persona</w:t>
            </w:r>
          </w:p>
        </w:tc>
        <w:tc>
          <w:tcPr>
            <w:tcW w:w="3402" w:type="dxa"/>
            <w:shd w:val="clear" w:color="auto" w:fill="F2F2F2" w:themeFill="background1" w:themeFillShade="F2"/>
            <w:noWrap/>
            <w:vAlign w:val="center"/>
            <w:hideMark/>
          </w:tcPr>
          <w:p w14:paraId="30B9F860"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Detalles</w:t>
            </w:r>
          </w:p>
        </w:tc>
      </w:tr>
      <w:tr w:rsidR="007605E6" w:rsidRPr="00382A62" w14:paraId="7B31D292" w14:textId="77777777" w:rsidTr="007D00B2">
        <w:trPr>
          <w:trHeight w:val="227"/>
          <w:jc w:val="center"/>
        </w:trPr>
        <w:tc>
          <w:tcPr>
            <w:tcW w:w="2258" w:type="dxa"/>
            <w:vMerge w:val="restart"/>
            <w:shd w:val="clear" w:color="auto" w:fill="auto"/>
            <w:noWrap/>
            <w:vAlign w:val="center"/>
            <w:hideMark/>
          </w:tcPr>
          <w:p w14:paraId="10E93202" w14:textId="77777777" w:rsidR="007605E6" w:rsidRPr="00382A62" w:rsidRDefault="007605E6" w:rsidP="007D00B2">
            <w:pPr>
              <w:spacing w:line="276" w:lineRule="auto"/>
              <w:contextualSpacing/>
              <w:rPr>
                <w:rFonts w:cs="Arial"/>
                <w:szCs w:val="20"/>
              </w:rPr>
            </w:pPr>
            <w:r w:rsidRPr="00382A62">
              <w:rPr>
                <w:rFonts w:cs="Arial"/>
                <w:szCs w:val="20"/>
              </w:rPr>
              <w:t>Presidente</w:t>
            </w:r>
          </w:p>
        </w:tc>
        <w:tc>
          <w:tcPr>
            <w:tcW w:w="2977" w:type="dxa"/>
            <w:vMerge w:val="restart"/>
            <w:shd w:val="clear" w:color="auto" w:fill="auto"/>
            <w:noWrap/>
            <w:vAlign w:val="center"/>
            <w:hideMark/>
          </w:tcPr>
          <w:p w14:paraId="5D302003" w14:textId="77777777" w:rsidR="007605E6" w:rsidRPr="00382A62" w:rsidRDefault="007605E6" w:rsidP="007D00B2">
            <w:pPr>
              <w:spacing w:line="276" w:lineRule="auto"/>
              <w:contextualSpacing/>
              <w:rPr>
                <w:rFonts w:cs="Arial"/>
                <w:szCs w:val="20"/>
              </w:rPr>
            </w:pPr>
            <w:r w:rsidRPr="00382A62">
              <w:rPr>
                <w:rFonts w:cs="Arial"/>
                <w:szCs w:val="20"/>
              </w:rPr>
              <w:t xml:space="preserve">Wilhelm Steinvorth Herrera </w:t>
            </w:r>
          </w:p>
        </w:tc>
        <w:tc>
          <w:tcPr>
            <w:tcW w:w="3402" w:type="dxa"/>
            <w:tcBorders>
              <w:bottom w:val="dashed" w:sz="4" w:space="0" w:color="auto"/>
            </w:tcBorders>
            <w:shd w:val="clear" w:color="auto" w:fill="auto"/>
            <w:noWrap/>
            <w:vAlign w:val="center"/>
            <w:hideMark/>
          </w:tcPr>
          <w:p w14:paraId="1A48F027" w14:textId="77777777" w:rsidR="007605E6" w:rsidRPr="00382A62" w:rsidRDefault="007605E6" w:rsidP="007D00B2">
            <w:pPr>
              <w:spacing w:line="276" w:lineRule="auto"/>
              <w:contextualSpacing/>
              <w:rPr>
                <w:rFonts w:cs="Arial"/>
                <w:szCs w:val="20"/>
              </w:rPr>
            </w:pPr>
            <w:r w:rsidRPr="00382A62">
              <w:rPr>
                <w:rFonts w:cs="Arial"/>
                <w:szCs w:val="20"/>
              </w:rPr>
              <w:t>Año de nacimiento: 1953</w:t>
            </w:r>
          </w:p>
        </w:tc>
      </w:tr>
      <w:tr w:rsidR="007605E6" w:rsidRPr="00382A62" w14:paraId="61CF5251" w14:textId="77777777" w:rsidTr="007D00B2">
        <w:trPr>
          <w:trHeight w:val="227"/>
          <w:jc w:val="center"/>
        </w:trPr>
        <w:tc>
          <w:tcPr>
            <w:tcW w:w="2258" w:type="dxa"/>
            <w:vMerge/>
            <w:vAlign w:val="center"/>
            <w:hideMark/>
          </w:tcPr>
          <w:p w14:paraId="4168130A" w14:textId="77777777" w:rsidR="007605E6" w:rsidRPr="00382A62" w:rsidRDefault="007605E6" w:rsidP="007D00B2">
            <w:pPr>
              <w:spacing w:line="276" w:lineRule="auto"/>
              <w:contextualSpacing/>
              <w:rPr>
                <w:rFonts w:cs="Arial"/>
                <w:szCs w:val="20"/>
              </w:rPr>
            </w:pPr>
          </w:p>
        </w:tc>
        <w:tc>
          <w:tcPr>
            <w:tcW w:w="2977" w:type="dxa"/>
            <w:vMerge/>
            <w:vAlign w:val="center"/>
            <w:hideMark/>
          </w:tcPr>
          <w:p w14:paraId="50AF44F8"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hideMark/>
          </w:tcPr>
          <w:p w14:paraId="6EF5ABDE"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1997</w:t>
            </w:r>
          </w:p>
        </w:tc>
      </w:tr>
      <w:tr w:rsidR="007605E6" w:rsidRPr="00382A62" w14:paraId="3858FD88" w14:textId="77777777" w:rsidTr="007D00B2">
        <w:trPr>
          <w:trHeight w:val="227"/>
          <w:jc w:val="center"/>
        </w:trPr>
        <w:tc>
          <w:tcPr>
            <w:tcW w:w="2258" w:type="dxa"/>
            <w:vMerge w:val="restart"/>
            <w:shd w:val="clear" w:color="auto" w:fill="auto"/>
            <w:noWrap/>
            <w:vAlign w:val="center"/>
            <w:hideMark/>
          </w:tcPr>
          <w:p w14:paraId="6995D234" w14:textId="77777777" w:rsidR="007605E6" w:rsidRPr="00382A62" w:rsidRDefault="007605E6" w:rsidP="007D00B2">
            <w:pPr>
              <w:spacing w:line="276" w:lineRule="auto"/>
              <w:contextualSpacing/>
              <w:rPr>
                <w:rFonts w:cs="Arial"/>
                <w:szCs w:val="20"/>
              </w:rPr>
            </w:pPr>
            <w:r w:rsidRPr="00382A62">
              <w:rPr>
                <w:rFonts w:cs="Arial"/>
                <w:szCs w:val="20"/>
              </w:rPr>
              <w:t>Vicepresidente</w:t>
            </w:r>
          </w:p>
        </w:tc>
        <w:tc>
          <w:tcPr>
            <w:tcW w:w="2977" w:type="dxa"/>
            <w:vMerge w:val="restart"/>
            <w:shd w:val="clear" w:color="auto" w:fill="auto"/>
            <w:noWrap/>
            <w:vAlign w:val="center"/>
            <w:hideMark/>
          </w:tcPr>
          <w:p w14:paraId="33ADFA7F" w14:textId="77777777" w:rsidR="007605E6" w:rsidRPr="00382A62" w:rsidRDefault="007605E6" w:rsidP="007D00B2">
            <w:pPr>
              <w:spacing w:line="276" w:lineRule="auto"/>
              <w:contextualSpacing/>
              <w:rPr>
                <w:rFonts w:cs="Arial"/>
                <w:szCs w:val="20"/>
              </w:rPr>
            </w:pPr>
            <w:r w:rsidRPr="00382A62">
              <w:rPr>
                <w:rFonts w:cs="Arial"/>
                <w:szCs w:val="20"/>
              </w:rPr>
              <w:t>José Rossi Umaña</w:t>
            </w:r>
          </w:p>
        </w:tc>
        <w:tc>
          <w:tcPr>
            <w:tcW w:w="3402" w:type="dxa"/>
            <w:tcBorders>
              <w:bottom w:val="dashed" w:sz="4" w:space="0" w:color="auto"/>
            </w:tcBorders>
            <w:shd w:val="clear" w:color="auto" w:fill="auto"/>
            <w:noWrap/>
            <w:vAlign w:val="center"/>
            <w:hideMark/>
          </w:tcPr>
          <w:p w14:paraId="346F994D" w14:textId="77777777" w:rsidR="007605E6" w:rsidRPr="00382A62" w:rsidRDefault="007605E6" w:rsidP="007D00B2">
            <w:pPr>
              <w:spacing w:line="276" w:lineRule="auto"/>
              <w:contextualSpacing/>
              <w:rPr>
                <w:rFonts w:cs="Arial"/>
                <w:szCs w:val="20"/>
              </w:rPr>
            </w:pPr>
            <w:r w:rsidRPr="00382A62">
              <w:rPr>
                <w:rFonts w:cs="Arial"/>
                <w:szCs w:val="20"/>
              </w:rPr>
              <w:t>Año de nacimiento: 1961</w:t>
            </w:r>
          </w:p>
        </w:tc>
      </w:tr>
      <w:tr w:rsidR="007605E6" w:rsidRPr="00382A62" w14:paraId="10A820C3" w14:textId="77777777" w:rsidTr="007D00B2">
        <w:trPr>
          <w:trHeight w:val="227"/>
          <w:jc w:val="center"/>
        </w:trPr>
        <w:tc>
          <w:tcPr>
            <w:tcW w:w="2258" w:type="dxa"/>
            <w:vMerge/>
            <w:vAlign w:val="center"/>
            <w:hideMark/>
          </w:tcPr>
          <w:p w14:paraId="49032D16" w14:textId="77777777" w:rsidR="007605E6" w:rsidRPr="00382A62" w:rsidRDefault="007605E6" w:rsidP="007D00B2">
            <w:pPr>
              <w:spacing w:line="276" w:lineRule="auto"/>
              <w:contextualSpacing/>
              <w:rPr>
                <w:rFonts w:cs="Arial"/>
                <w:szCs w:val="20"/>
              </w:rPr>
            </w:pPr>
          </w:p>
        </w:tc>
        <w:tc>
          <w:tcPr>
            <w:tcW w:w="2977" w:type="dxa"/>
            <w:vMerge/>
            <w:vAlign w:val="center"/>
            <w:hideMark/>
          </w:tcPr>
          <w:p w14:paraId="19E5874D"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hideMark/>
          </w:tcPr>
          <w:p w14:paraId="15845471"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2003</w:t>
            </w:r>
          </w:p>
        </w:tc>
      </w:tr>
      <w:tr w:rsidR="007605E6" w:rsidRPr="00382A62" w14:paraId="1F1B4C81" w14:textId="77777777" w:rsidTr="007D00B2">
        <w:trPr>
          <w:trHeight w:val="227"/>
          <w:jc w:val="center"/>
        </w:trPr>
        <w:tc>
          <w:tcPr>
            <w:tcW w:w="2258" w:type="dxa"/>
            <w:vMerge w:val="restart"/>
            <w:shd w:val="clear" w:color="auto" w:fill="auto"/>
            <w:noWrap/>
            <w:vAlign w:val="center"/>
            <w:hideMark/>
          </w:tcPr>
          <w:p w14:paraId="1CFD84AD" w14:textId="77777777" w:rsidR="007605E6" w:rsidRPr="00382A62" w:rsidRDefault="007605E6" w:rsidP="007D00B2">
            <w:pPr>
              <w:spacing w:line="276" w:lineRule="auto"/>
              <w:contextualSpacing/>
              <w:rPr>
                <w:rFonts w:cs="Arial"/>
                <w:szCs w:val="20"/>
              </w:rPr>
            </w:pPr>
            <w:r w:rsidRPr="00382A62">
              <w:rPr>
                <w:rFonts w:cs="Arial"/>
                <w:szCs w:val="20"/>
              </w:rPr>
              <w:t>Secretario</w:t>
            </w:r>
          </w:p>
        </w:tc>
        <w:tc>
          <w:tcPr>
            <w:tcW w:w="2977" w:type="dxa"/>
            <w:vMerge w:val="restart"/>
            <w:shd w:val="clear" w:color="auto" w:fill="auto"/>
            <w:noWrap/>
            <w:vAlign w:val="center"/>
            <w:hideMark/>
          </w:tcPr>
          <w:p w14:paraId="44D79E4A" w14:textId="77777777" w:rsidR="007605E6" w:rsidRPr="00382A62" w:rsidRDefault="007605E6" w:rsidP="007D00B2">
            <w:pPr>
              <w:spacing w:line="276" w:lineRule="auto"/>
              <w:contextualSpacing/>
              <w:rPr>
                <w:rFonts w:cs="Arial"/>
                <w:szCs w:val="20"/>
              </w:rPr>
            </w:pPr>
            <w:r w:rsidRPr="00382A62">
              <w:rPr>
                <w:rFonts w:cs="Arial"/>
                <w:szCs w:val="20"/>
              </w:rPr>
              <w:t>Arturo Alexis Loría Agüero</w:t>
            </w:r>
          </w:p>
        </w:tc>
        <w:tc>
          <w:tcPr>
            <w:tcW w:w="3402" w:type="dxa"/>
            <w:tcBorders>
              <w:bottom w:val="dashed" w:sz="4" w:space="0" w:color="auto"/>
            </w:tcBorders>
            <w:shd w:val="clear" w:color="auto" w:fill="auto"/>
            <w:noWrap/>
            <w:vAlign w:val="center"/>
            <w:hideMark/>
          </w:tcPr>
          <w:p w14:paraId="1EE054A0" w14:textId="77777777" w:rsidR="007605E6" w:rsidRPr="00382A62" w:rsidRDefault="007605E6" w:rsidP="007D00B2">
            <w:pPr>
              <w:spacing w:line="276" w:lineRule="auto"/>
              <w:contextualSpacing/>
              <w:rPr>
                <w:rFonts w:cs="Arial"/>
                <w:szCs w:val="20"/>
              </w:rPr>
            </w:pPr>
            <w:r w:rsidRPr="00382A62">
              <w:rPr>
                <w:rFonts w:cs="Arial"/>
                <w:szCs w:val="20"/>
              </w:rPr>
              <w:t>Año de nacimiento: 1953</w:t>
            </w:r>
          </w:p>
        </w:tc>
      </w:tr>
      <w:tr w:rsidR="007605E6" w:rsidRPr="00382A62" w14:paraId="324AC8F8" w14:textId="77777777" w:rsidTr="007D00B2">
        <w:trPr>
          <w:trHeight w:val="227"/>
          <w:jc w:val="center"/>
        </w:trPr>
        <w:tc>
          <w:tcPr>
            <w:tcW w:w="2258" w:type="dxa"/>
            <w:vMerge/>
            <w:vAlign w:val="center"/>
            <w:hideMark/>
          </w:tcPr>
          <w:p w14:paraId="7552A430" w14:textId="77777777" w:rsidR="007605E6" w:rsidRPr="00382A62" w:rsidRDefault="007605E6" w:rsidP="007D00B2">
            <w:pPr>
              <w:spacing w:line="276" w:lineRule="auto"/>
              <w:contextualSpacing/>
              <w:rPr>
                <w:rFonts w:cs="Arial"/>
                <w:szCs w:val="20"/>
              </w:rPr>
            </w:pPr>
          </w:p>
        </w:tc>
        <w:tc>
          <w:tcPr>
            <w:tcW w:w="2977" w:type="dxa"/>
            <w:vMerge/>
            <w:vAlign w:val="center"/>
            <w:hideMark/>
          </w:tcPr>
          <w:p w14:paraId="7E71AF88"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hideMark/>
          </w:tcPr>
          <w:p w14:paraId="6A67FC66"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1988</w:t>
            </w:r>
          </w:p>
        </w:tc>
      </w:tr>
      <w:tr w:rsidR="007605E6" w:rsidRPr="00382A62" w14:paraId="0572DEF1" w14:textId="77777777" w:rsidTr="007D00B2">
        <w:trPr>
          <w:trHeight w:val="227"/>
          <w:jc w:val="center"/>
        </w:trPr>
        <w:tc>
          <w:tcPr>
            <w:tcW w:w="2258" w:type="dxa"/>
            <w:vMerge w:val="restart"/>
            <w:shd w:val="clear" w:color="auto" w:fill="auto"/>
            <w:noWrap/>
            <w:vAlign w:val="center"/>
            <w:hideMark/>
          </w:tcPr>
          <w:p w14:paraId="7A0CABDB" w14:textId="77777777" w:rsidR="007605E6" w:rsidRPr="00382A62" w:rsidRDefault="007605E6" w:rsidP="007D00B2">
            <w:pPr>
              <w:spacing w:line="276" w:lineRule="auto"/>
              <w:contextualSpacing/>
              <w:rPr>
                <w:rFonts w:cs="Arial"/>
                <w:szCs w:val="20"/>
              </w:rPr>
            </w:pPr>
            <w:r w:rsidRPr="00382A62">
              <w:rPr>
                <w:rFonts w:cs="Arial"/>
                <w:szCs w:val="20"/>
              </w:rPr>
              <w:t>Tesorera</w:t>
            </w:r>
          </w:p>
        </w:tc>
        <w:tc>
          <w:tcPr>
            <w:tcW w:w="2977" w:type="dxa"/>
            <w:vMerge w:val="restart"/>
            <w:shd w:val="clear" w:color="auto" w:fill="auto"/>
            <w:noWrap/>
            <w:vAlign w:val="center"/>
          </w:tcPr>
          <w:p w14:paraId="5329E1A0" w14:textId="77777777" w:rsidR="007605E6" w:rsidRPr="00382A62" w:rsidRDefault="007605E6" w:rsidP="007D00B2">
            <w:pPr>
              <w:spacing w:line="276" w:lineRule="auto"/>
              <w:contextualSpacing/>
              <w:rPr>
                <w:rFonts w:cs="Arial"/>
                <w:szCs w:val="20"/>
              </w:rPr>
            </w:pPr>
            <w:r w:rsidRPr="00382A62">
              <w:rPr>
                <w:rFonts w:cs="Arial"/>
                <w:szCs w:val="20"/>
              </w:rPr>
              <w:t>Shannon Music Gamboa</w:t>
            </w:r>
          </w:p>
        </w:tc>
        <w:tc>
          <w:tcPr>
            <w:tcW w:w="3402" w:type="dxa"/>
            <w:tcBorders>
              <w:bottom w:val="dashed" w:sz="4" w:space="0" w:color="auto"/>
            </w:tcBorders>
            <w:shd w:val="clear" w:color="auto" w:fill="auto"/>
            <w:noWrap/>
            <w:vAlign w:val="center"/>
          </w:tcPr>
          <w:p w14:paraId="08C194B7" w14:textId="77777777" w:rsidR="007605E6" w:rsidRPr="00382A62" w:rsidRDefault="007605E6" w:rsidP="007D00B2">
            <w:pPr>
              <w:spacing w:line="276" w:lineRule="auto"/>
              <w:contextualSpacing/>
              <w:rPr>
                <w:rFonts w:cs="Arial"/>
                <w:szCs w:val="20"/>
              </w:rPr>
            </w:pPr>
            <w:r w:rsidRPr="00382A62">
              <w:rPr>
                <w:rFonts w:cs="Arial"/>
                <w:szCs w:val="20"/>
              </w:rPr>
              <w:t>Año de nacimiento: 1979</w:t>
            </w:r>
          </w:p>
        </w:tc>
      </w:tr>
      <w:tr w:rsidR="007605E6" w:rsidRPr="00382A62" w14:paraId="01DF9F13" w14:textId="77777777" w:rsidTr="007D00B2">
        <w:trPr>
          <w:trHeight w:val="227"/>
          <w:jc w:val="center"/>
        </w:trPr>
        <w:tc>
          <w:tcPr>
            <w:tcW w:w="2258" w:type="dxa"/>
            <w:vMerge/>
            <w:vAlign w:val="center"/>
            <w:hideMark/>
          </w:tcPr>
          <w:p w14:paraId="22DF6858" w14:textId="77777777" w:rsidR="007605E6" w:rsidRPr="00382A62" w:rsidRDefault="007605E6" w:rsidP="007D00B2">
            <w:pPr>
              <w:spacing w:line="276" w:lineRule="auto"/>
              <w:contextualSpacing/>
              <w:rPr>
                <w:rFonts w:cs="Arial"/>
                <w:szCs w:val="20"/>
              </w:rPr>
            </w:pPr>
          </w:p>
        </w:tc>
        <w:tc>
          <w:tcPr>
            <w:tcW w:w="2977" w:type="dxa"/>
            <w:vMerge/>
            <w:vAlign w:val="center"/>
          </w:tcPr>
          <w:p w14:paraId="6FB2B28F"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tcPr>
          <w:p w14:paraId="357919CD"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2018</w:t>
            </w:r>
          </w:p>
        </w:tc>
      </w:tr>
      <w:tr w:rsidR="007605E6" w:rsidRPr="00382A62" w14:paraId="609304CB" w14:textId="77777777" w:rsidTr="007D00B2">
        <w:trPr>
          <w:trHeight w:val="227"/>
          <w:jc w:val="center"/>
        </w:trPr>
        <w:tc>
          <w:tcPr>
            <w:tcW w:w="2258" w:type="dxa"/>
            <w:vMerge w:val="restart"/>
            <w:shd w:val="clear" w:color="auto" w:fill="auto"/>
            <w:noWrap/>
            <w:vAlign w:val="center"/>
            <w:hideMark/>
          </w:tcPr>
          <w:p w14:paraId="7AE647F5" w14:textId="77777777" w:rsidR="007605E6" w:rsidRPr="00382A62" w:rsidRDefault="007605E6" w:rsidP="007D00B2">
            <w:pPr>
              <w:spacing w:line="276" w:lineRule="auto"/>
              <w:contextualSpacing/>
              <w:rPr>
                <w:rFonts w:cs="Arial"/>
                <w:szCs w:val="20"/>
              </w:rPr>
            </w:pPr>
            <w:r w:rsidRPr="00382A62">
              <w:rPr>
                <w:rFonts w:cs="Arial"/>
                <w:szCs w:val="20"/>
              </w:rPr>
              <w:t>Vocales</w:t>
            </w:r>
          </w:p>
        </w:tc>
        <w:tc>
          <w:tcPr>
            <w:tcW w:w="2977" w:type="dxa"/>
            <w:vMerge w:val="restart"/>
            <w:shd w:val="clear" w:color="auto" w:fill="auto"/>
            <w:noWrap/>
            <w:vAlign w:val="center"/>
            <w:hideMark/>
          </w:tcPr>
          <w:p w14:paraId="6F637AB7" w14:textId="77777777" w:rsidR="007605E6" w:rsidRPr="00382A62" w:rsidRDefault="007605E6" w:rsidP="007D00B2">
            <w:pPr>
              <w:spacing w:line="276" w:lineRule="auto"/>
              <w:contextualSpacing/>
              <w:rPr>
                <w:rFonts w:cs="Arial"/>
                <w:szCs w:val="20"/>
              </w:rPr>
            </w:pPr>
            <w:r w:rsidRPr="00382A62">
              <w:rPr>
                <w:rFonts w:cs="Arial"/>
                <w:szCs w:val="20"/>
              </w:rPr>
              <w:t>Sergio Egloff Gerli</w:t>
            </w:r>
          </w:p>
        </w:tc>
        <w:tc>
          <w:tcPr>
            <w:tcW w:w="3402" w:type="dxa"/>
            <w:tcBorders>
              <w:bottom w:val="dashed" w:sz="4" w:space="0" w:color="auto"/>
            </w:tcBorders>
            <w:shd w:val="clear" w:color="auto" w:fill="auto"/>
            <w:noWrap/>
            <w:vAlign w:val="center"/>
            <w:hideMark/>
          </w:tcPr>
          <w:p w14:paraId="5667A0DC" w14:textId="77777777" w:rsidR="007605E6" w:rsidRPr="00382A62" w:rsidRDefault="007605E6" w:rsidP="007D00B2">
            <w:pPr>
              <w:spacing w:line="276" w:lineRule="auto"/>
              <w:contextualSpacing/>
              <w:rPr>
                <w:rFonts w:cs="Arial"/>
                <w:szCs w:val="20"/>
              </w:rPr>
            </w:pPr>
            <w:r w:rsidRPr="00382A62">
              <w:rPr>
                <w:rFonts w:cs="Arial"/>
                <w:szCs w:val="20"/>
              </w:rPr>
              <w:t>Año de nacimiento: 1954</w:t>
            </w:r>
          </w:p>
        </w:tc>
      </w:tr>
      <w:tr w:rsidR="007605E6" w:rsidRPr="00382A62" w14:paraId="0D06EAA1" w14:textId="77777777" w:rsidTr="007D00B2">
        <w:trPr>
          <w:trHeight w:val="227"/>
          <w:jc w:val="center"/>
        </w:trPr>
        <w:tc>
          <w:tcPr>
            <w:tcW w:w="2258" w:type="dxa"/>
            <w:vMerge/>
            <w:vAlign w:val="center"/>
            <w:hideMark/>
          </w:tcPr>
          <w:p w14:paraId="032BB6AB" w14:textId="77777777" w:rsidR="007605E6" w:rsidRPr="00382A62" w:rsidRDefault="007605E6" w:rsidP="007D00B2">
            <w:pPr>
              <w:spacing w:line="276" w:lineRule="auto"/>
              <w:contextualSpacing/>
              <w:rPr>
                <w:rFonts w:cs="Arial"/>
                <w:szCs w:val="20"/>
              </w:rPr>
            </w:pPr>
          </w:p>
        </w:tc>
        <w:tc>
          <w:tcPr>
            <w:tcW w:w="2977" w:type="dxa"/>
            <w:vMerge/>
            <w:vAlign w:val="center"/>
            <w:hideMark/>
          </w:tcPr>
          <w:p w14:paraId="3F0B6635"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hideMark/>
          </w:tcPr>
          <w:p w14:paraId="335CDFEA"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2006</w:t>
            </w:r>
          </w:p>
        </w:tc>
      </w:tr>
      <w:tr w:rsidR="007605E6" w:rsidRPr="00382A62" w14:paraId="6F4A9EFD" w14:textId="77777777" w:rsidTr="007D00B2">
        <w:trPr>
          <w:trHeight w:val="227"/>
          <w:jc w:val="center"/>
        </w:trPr>
        <w:tc>
          <w:tcPr>
            <w:tcW w:w="2258" w:type="dxa"/>
            <w:vMerge/>
            <w:vAlign w:val="center"/>
            <w:hideMark/>
          </w:tcPr>
          <w:p w14:paraId="5D63D510" w14:textId="77777777" w:rsidR="007605E6" w:rsidRPr="00382A62" w:rsidRDefault="007605E6" w:rsidP="007D00B2">
            <w:pPr>
              <w:spacing w:line="276" w:lineRule="auto"/>
              <w:contextualSpacing/>
              <w:rPr>
                <w:rFonts w:cs="Arial"/>
                <w:szCs w:val="20"/>
              </w:rPr>
            </w:pPr>
          </w:p>
        </w:tc>
        <w:tc>
          <w:tcPr>
            <w:tcW w:w="2977" w:type="dxa"/>
            <w:vMerge w:val="restart"/>
            <w:shd w:val="clear" w:color="auto" w:fill="auto"/>
            <w:noWrap/>
            <w:vAlign w:val="center"/>
          </w:tcPr>
          <w:p w14:paraId="59F1B7F4" w14:textId="77777777" w:rsidR="007605E6" w:rsidRPr="00382A62" w:rsidRDefault="007605E6" w:rsidP="007D00B2">
            <w:pPr>
              <w:spacing w:line="276" w:lineRule="auto"/>
              <w:contextualSpacing/>
              <w:rPr>
                <w:rFonts w:cs="Arial"/>
                <w:szCs w:val="20"/>
              </w:rPr>
            </w:pPr>
            <w:r w:rsidRPr="00382A62">
              <w:rPr>
                <w:rFonts w:cs="Arial"/>
                <w:szCs w:val="20"/>
              </w:rPr>
              <w:t>Philippe Garnier Diez</w:t>
            </w:r>
          </w:p>
        </w:tc>
        <w:tc>
          <w:tcPr>
            <w:tcW w:w="3402" w:type="dxa"/>
            <w:tcBorders>
              <w:bottom w:val="dashed" w:sz="4" w:space="0" w:color="auto"/>
            </w:tcBorders>
            <w:shd w:val="clear" w:color="auto" w:fill="auto"/>
            <w:noWrap/>
            <w:vAlign w:val="center"/>
          </w:tcPr>
          <w:p w14:paraId="292AF01F" w14:textId="77777777" w:rsidR="007605E6" w:rsidRPr="00382A62" w:rsidRDefault="007605E6" w:rsidP="007D00B2">
            <w:pPr>
              <w:spacing w:line="276" w:lineRule="auto"/>
              <w:contextualSpacing/>
              <w:rPr>
                <w:rFonts w:cs="Arial"/>
                <w:szCs w:val="20"/>
              </w:rPr>
            </w:pPr>
            <w:r w:rsidRPr="00382A62">
              <w:rPr>
                <w:rFonts w:cs="Arial"/>
                <w:szCs w:val="20"/>
              </w:rPr>
              <w:t>Año de nacimiento: 1980</w:t>
            </w:r>
          </w:p>
        </w:tc>
      </w:tr>
      <w:tr w:rsidR="007605E6" w:rsidRPr="00382A62" w14:paraId="4632427B" w14:textId="77777777" w:rsidTr="007D00B2">
        <w:trPr>
          <w:trHeight w:val="227"/>
          <w:jc w:val="center"/>
        </w:trPr>
        <w:tc>
          <w:tcPr>
            <w:tcW w:w="2258" w:type="dxa"/>
            <w:vMerge/>
            <w:vAlign w:val="center"/>
            <w:hideMark/>
          </w:tcPr>
          <w:p w14:paraId="1CC245ED" w14:textId="77777777" w:rsidR="007605E6" w:rsidRPr="00382A62" w:rsidRDefault="007605E6" w:rsidP="007D00B2">
            <w:pPr>
              <w:spacing w:line="276" w:lineRule="auto"/>
              <w:contextualSpacing/>
              <w:rPr>
                <w:rFonts w:cs="Arial"/>
                <w:szCs w:val="20"/>
              </w:rPr>
            </w:pPr>
          </w:p>
        </w:tc>
        <w:tc>
          <w:tcPr>
            <w:tcW w:w="2977" w:type="dxa"/>
            <w:vMerge/>
            <w:vAlign w:val="center"/>
          </w:tcPr>
          <w:p w14:paraId="64014BDE"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tcPr>
          <w:p w14:paraId="20C87B63"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2018</w:t>
            </w:r>
          </w:p>
        </w:tc>
      </w:tr>
      <w:tr w:rsidR="007605E6" w:rsidRPr="00382A62" w14:paraId="7ADA9565" w14:textId="77777777" w:rsidTr="007D00B2">
        <w:trPr>
          <w:trHeight w:val="227"/>
          <w:jc w:val="center"/>
        </w:trPr>
        <w:tc>
          <w:tcPr>
            <w:tcW w:w="2258" w:type="dxa"/>
            <w:vMerge/>
            <w:vAlign w:val="center"/>
            <w:hideMark/>
          </w:tcPr>
          <w:p w14:paraId="112D4765" w14:textId="77777777" w:rsidR="007605E6" w:rsidRPr="00382A62" w:rsidRDefault="007605E6" w:rsidP="007D00B2">
            <w:pPr>
              <w:spacing w:line="276" w:lineRule="auto"/>
              <w:contextualSpacing/>
              <w:rPr>
                <w:rFonts w:cs="Arial"/>
                <w:szCs w:val="20"/>
              </w:rPr>
            </w:pPr>
          </w:p>
        </w:tc>
        <w:tc>
          <w:tcPr>
            <w:tcW w:w="2977" w:type="dxa"/>
            <w:vMerge w:val="restart"/>
            <w:shd w:val="clear" w:color="auto" w:fill="auto"/>
            <w:noWrap/>
            <w:vAlign w:val="center"/>
          </w:tcPr>
          <w:p w14:paraId="1118B7F3" w14:textId="77777777" w:rsidR="007605E6" w:rsidRPr="00382A62" w:rsidRDefault="007605E6" w:rsidP="007D00B2">
            <w:pPr>
              <w:spacing w:line="276" w:lineRule="auto"/>
              <w:contextualSpacing/>
              <w:rPr>
                <w:rFonts w:cs="Arial"/>
                <w:szCs w:val="20"/>
              </w:rPr>
            </w:pPr>
            <w:r w:rsidRPr="00382A62">
              <w:rPr>
                <w:rFonts w:cs="Arial"/>
                <w:szCs w:val="20"/>
              </w:rPr>
              <w:t>Jaime Jiménez Solera</w:t>
            </w:r>
          </w:p>
        </w:tc>
        <w:tc>
          <w:tcPr>
            <w:tcW w:w="3402" w:type="dxa"/>
            <w:tcBorders>
              <w:bottom w:val="dashed" w:sz="4" w:space="0" w:color="auto"/>
            </w:tcBorders>
            <w:shd w:val="clear" w:color="auto" w:fill="auto"/>
            <w:noWrap/>
            <w:vAlign w:val="center"/>
          </w:tcPr>
          <w:p w14:paraId="7C5598F9" w14:textId="77777777" w:rsidR="007605E6" w:rsidRPr="00382A62" w:rsidRDefault="007605E6" w:rsidP="007D00B2">
            <w:pPr>
              <w:spacing w:line="276" w:lineRule="auto"/>
              <w:contextualSpacing/>
              <w:rPr>
                <w:rFonts w:cs="Arial"/>
                <w:szCs w:val="20"/>
              </w:rPr>
            </w:pPr>
            <w:r w:rsidRPr="00382A62">
              <w:rPr>
                <w:rFonts w:cs="Arial"/>
                <w:szCs w:val="20"/>
              </w:rPr>
              <w:t>Año de nacimiento: 1962</w:t>
            </w:r>
          </w:p>
        </w:tc>
      </w:tr>
      <w:tr w:rsidR="007605E6" w:rsidRPr="00382A62" w14:paraId="73BB9E7E" w14:textId="77777777" w:rsidTr="007D00B2">
        <w:trPr>
          <w:trHeight w:val="227"/>
          <w:jc w:val="center"/>
        </w:trPr>
        <w:tc>
          <w:tcPr>
            <w:tcW w:w="2258" w:type="dxa"/>
            <w:vMerge/>
            <w:vAlign w:val="center"/>
            <w:hideMark/>
          </w:tcPr>
          <w:p w14:paraId="2EA23728" w14:textId="77777777" w:rsidR="007605E6" w:rsidRPr="00382A62" w:rsidRDefault="007605E6" w:rsidP="007D00B2">
            <w:pPr>
              <w:spacing w:line="276" w:lineRule="auto"/>
              <w:contextualSpacing/>
              <w:rPr>
                <w:rFonts w:cs="Arial"/>
                <w:szCs w:val="20"/>
              </w:rPr>
            </w:pPr>
          </w:p>
        </w:tc>
        <w:tc>
          <w:tcPr>
            <w:tcW w:w="2977" w:type="dxa"/>
            <w:vMerge/>
            <w:vAlign w:val="center"/>
          </w:tcPr>
          <w:p w14:paraId="202ACFED"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tcPr>
          <w:p w14:paraId="25777B22"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2019</w:t>
            </w:r>
          </w:p>
        </w:tc>
      </w:tr>
    </w:tbl>
    <w:p w14:paraId="7FBC2B20" w14:textId="77777777" w:rsidR="007605E6" w:rsidRPr="00382A62" w:rsidRDefault="007605E6" w:rsidP="007605E6">
      <w:pPr>
        <w:rPr>
          <w:rFonts w:cs="Arial"/>
          <w:szCs w:val="20"/>
        </w:rPr>
      </w:pPr>
    </w:p>
    <w:tbl>
      <w:tblPr>
        <w:tblW w:w="637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77"/>
        <w:gridCol w:w="3402"/>
      </w:tblGrid>
      <w:tr w:rsidR="007605E6" w:rsidRPr="00382A62" w14:paraId="5F732213" w14:textId="77777777" w:rsidTr="007D00B2">
        <w:trPr>
          <w:trHeight w:val="227"/>
          <w:jc w:val="center"/>
        </w:trPr>
        <w:tc>
          <w:tcPr>
            <w:tcW w:w="6379" w:type="dxa"/>
            <w:gridSpan w:val="2"/>
            <w:shd w:val="clear" w:color="auto" w:fill="F2F2F2" w:themeFill="background1" w:themeFillShade="F2"/>
            <w:noWrap/>
            <w:vAlign w:val="center"/>
          </w:tcPr>
          <w:p w14:paraId="70CF656E"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Fiscal de la Junta Directiva</w:t>
            </w:r>
          </w:p>
        </w:tc>
      </w:tr>
      <w:tr w:rsidR="007605E6" w:rsidRPr="00382A62" w14:paraId="667BF94D" w14:textId="77777777" w:rsidTr="007D00B2">
        <w:trPr>
          <w:trHeight w:val="227"/>
          <w:jc w:val="center"/>
        </w:trPr>
        <w:tc>
          <w:tcPr>
            <w:tcW w:w="2977" w:type="dxa"/>
            <w:vMerge w:val="restart"/>
            <w:shd w:val="clear" w:color="auto" w:fill="auto"/>
            <w:noWrap/>
            <w:vAlign w:val="center"/>
            <w:hideMark/>
          </w:tcPr>
          <w:p w14:paraId="5EEF0925" w14:textId="77777777" w:rsidR="007605E6" w:rsidRPr="00382A62" w:rsidRDefault="007605E6" w:rsidP="007D00B2">
            <w:pPr>
              <w:spacing w:line="276" w:lineRule="auto"/>
              <w:contextualSpacing/>
              <w:rPr>
                <w:rFonts w:cs="Arial"/>
                <w:szCs w:val="20"/>
              </w:rPr>
            </w:pPr>
            <w:r w:rsidRPr="00382A62">
              <w:rPr>
                <w:rFonts w:cs="Arial"/>
                <w:szCs w:val="20"/>
              </w:rPr>
              <w:t>Roberto Truque Harrington</w:t>
            </w:r>
          </w:p>
        </w:tc>
        <w:tc>
          <w:tcPr>
            <w:tcW w:w="3402" w:type="dxa"/>
            <w:shd w:val="clear" w:color="auto" w:fill="auto"/>
            <w:noWrap/>
            <w:vAlign w:val="center"/>
            <w:hideMark/>
          </w:tcPr>
          <w:p w14:paraId="133EACE8" w14:textId="77777777" w:rsidR="007605E6" w:rsidRPr="00382A62" w:rsidRDefault="007605E6" w:rsidP="007D00B2">
            <w:pPr>
              <w:spacing w:line="276" w:lineRule="auto"/>
              <w:contextualSpacing/>
              <w:rPr>
                <w:rFonts w:cs="Arial"/>
                <w:szCs w:val="20"/>
              </w:rPr>
            </w:pPr>
            <w:r w:rsidRPr="00382A62">
              <w:rPr>
                <w:rFonts w:cs="Arial"/>
                <w:szCs w:val="20"/>
              </w:rPr>
              <w:t>Año de nacimiento: 1955</w:t>
            </w:r>
          </w:p>
        </w:tc>
      </w:tr>
      <w:tr w:rsidR="007605E6" w:rsidRPr="00382A62" w14:paraId="21FDBD65" w14:textId="77777777" w:rsidTr="007D00B2">
        <w:trPr>
          <w:trHeight w:val="227"/>
          <w:jc w:val="center"/>
        </w:trPr>
        <w:tc>
          <w:tcPr>
            <w:tcW w:w="2977" w:type="dxa"/>
            <w:vMerge/>
            <w:vAlign w:val="center"/>
            <w:hideMark/>
          </w:tcPr>
          <w:p w14:paraId="3D17E194" w14:textId="77777777" w:rsidR="007605E6" w:rsidRPr="00382A62" w:rsidRDefault="007605E6" w:rsidP="007D00B2">
            <w:pPr>
              <w:spacing w:line="276" w:lineRule="auto"/>
              <w:contextualSpacing/>
              <w:rPr>
                <w:rFonts w:cs="Arial"/>
                <w:szCs w:val="20"/>
              </w:rPr>
            </w:pPr>
          </w:p>
        </w:tc>
        <w:tc>
          <w:tcPr>
            <w:tcW w:w="3402" w:type="dxa"/>
            <w:shd w:val="clear" w:color="auto" w:fill="auto"/>
            <w:noWrap/>
            <w:vAlign w:val="center"/>
            <w:hideMark/>
          </w:tcPr>
          <w:p w14:paraId="5835C61A"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2012</w:t>
            </w:r>
          </w:p>
        </w:tc>
      </w:tr>
    </w:tbl>
    <w:p w14:paraId="1E579F64" w14:textId="77777777" w:rsidR="007605E6" w:rsidRPr="00C55BEC" w:rsidRDefault="007605E6" w:rsidP="007605E6">
      <w:pPr>
        <w:rPr>
          <w:rFonts w:cs="Arial"/>
          <w:sz w:val="6"/>
          <w:szCs w:val="6"/>
        </w:rPr>
      </w:pPr>
    </w:p>
    <w:tbl>
      <w:tblPr>
        <w:tblW w:w="67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340"/>
        <w:gridCol w:w="3440"/>
      </w:tblGrid>
      <w:tr w:rsidR="007605E6" w:rsidRPr="00382A62" w14:paraId="33C5019F" w14:textId="77777777" w:rsidTr="007D00B2">
        <w:trPr>
          <w:trHeight w:val="20"/>
          <w:jc w:val="center"/>
        </w:trPr>
        <w:tc>
          <w:tcPr>
            <w:tcW w:w="6780" w:type="dxa"/>
            <w:gridSpan w:val="2"/>
            <w:shd w:val="clear" w:color="auto" w:fill="F2F2F2" w:themeFill="background1" w:themeFillShade="F2"/>
            <w:noWrap/>
            <w:vAlign w:val="center"/>
            <w:hideMark/>
          </w:tcPr>
          <w:p w14:paraId="228A6EAF"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Comité de Auditoría y Riesgos</w:t>
            </w:r>
          </w:p>
        </w:tc>
      </w:tr>
      <w:tr w:rsidR="007605E6" w:rsidRPr="00382A62" w14:paraId="2BBEA596" w14:textId="77777777" w:rsidTr="007D00B2">
        <w:trPr>
          <w:trHeight w:val="20"/>
          <w:jc w:val="center"/>
        </w:trPr>
        <w:tc>
          <w:tcPr>
            <w:tcW w:w="3340" w:type="dxa"/>
            <w:shd w:val="clear" w:color="auto" w:fill="auto"/>
            <w:vAlign w:val="center"/>
            <w:hideMark/>
          </w:tcPr>
          <w:p w14:paraId="27DC06A2" w14:textId="77777777" w:rsidR="007605E6" w:rsidRPr="00382A62" w:rsidRDefault="007605E6" w:rsidP="007D00B2">
            <w:pPr>
              <w:spacing w:line="276" w:lineRule="auto"/>
              <w:contextualSpacing/>
              <w:rPr>
                <w:rFonts w:cs="Arial"/>
                <w:szCs w:val="20"/>
              </w:rPr>
            </w:pPr>
            <w:r w:rsidRPr="00382A62">
              <w:rPr>
                <w:rFonts w:cs="Arial"/>
                <w:szCs w:val="20"/>
              </w:rPr>
              <w:t xml:space="preserve">Sergio Egloff Gerli                   </w:t>
            </w:r>
          </w:p>
        </w:tc>
        <w:tc>
          <w:tcPr>
            <w:tcW w:w="3440" w:type="dxa"/>
            <w:shd w:val="clear" w:color="auto" w:fill="auto"/>
            <w:noWrap/>
            <w:vAlign w:val="center"/>
            <w:hideMark/>
          </w:tcPr>
          <w:p w14:paraId="3EF72E79" w14:textId="77777777" w:rsidR="007605E6" w:rsidRPr="00382A62" w:rsidRDefault="007605E6" w:rsidP="007D00B2">
            <w:pPr>
              <w:spacing w:line="276" w:lineRule="auto"/>
              <w:contextualSpacing/>
              <w:jc w:val="center"/>
              <w:rPr>
                <w:rFonts w:cs="Arial"/>
                <w:szCs w:val="20"/>
              </w:rPr>
            </w:pPr>
            <w:r w:rsidRPr="00382A62">
              <w:rPr>
                <w:rFonts w:cs="Arial"/>
                <w:szCs w:val="20"/>
              </w:rPr>
              <w:t>Presidente</w:t>
            </w:r>
          </w:p>
        </w:tc>
      </w:tr>
      <w:tr w:rsidR="007605E6" w:rsidRPr="00382A62" w14:paraId="2D5B0389" w14:textId="77777777" w:rsidTr="007D00B2">
        <w:trPr>
          <w:trHeight w:val="20"/>
          <w:jc w:val="center"/>
        </w:trPr>
        <w:tc>
          <w:tcPr>
            <w:tcW w:w="3340" w:type="dxa"/>
            <w:shd w:val="clear" w:color="auto" w:fill="auto"/>
            <w:vAlign w:val="center"/>
            <w:hideMark/>
          </w:tcPr>
          <w:p w14:paraId="4BE325DC" w14:textId="77777777" w:rsidR="007605E6" w:rsidRPr="00382A62" w:rsidRDefault="007605E6" w:rsidP="007D00B2">
            <w:pPr>
              <w:spacing w:line="276" w:lineRule="auto"/>
              <w:contextualSpacing/>
              <w:rPr>
                <w:rFonts w:cs="Arial"/>
                <w:szCs w:val="20"/>
              </w:rPr>
            </w:pPr>
            <w:r w:rsidRPr="00382A62">
              <w:rPr>
                <w:rFonts w:cs="Arial"/>
                <w:szCs w:val="20"/>
              </w:rPr>
              <w:t xml:space="preserve">Arturo Alexis Loría Agüero              </w:t>
            </w:r>
          </w:p>
        </w:tc>
        <w:tc>
          <w:tcPr>
            <w:tcW w:w="3440" w:type="dxa"/>
            <w:shd w:val="clear" w:color="auto" w:fill="auto"/>
            <w:noWrap/>
            <w:vAlign w:val="center"/>
            <w:hideMark/>
          </w:tcPr>
          <w:p w14:paraId="643055DE" w14:textId="77777777" w:rsidR="007605E6" w:rsidRPr="00382A62" w:rsidRDefault="007605E6" w:rsidP="007D00B2">
            <w:pPr>
              <w:spacing w:line="276" w:lineRule="auto"/>
              <w:contextualSpacing/>
              <w:jc w:val="center"/>
              <w:rPr>
                <w:rFonts w:cs="Arial"/>
                <w:szCs w:val="20"/>
              </w:rPr>
            </w:pPr>
            <w:r w:rsidRPr="00382A62">
              <w:rPr>
                <w:rFonts w:cs="Arial"/>
                <w:szCs w:val="20"/>
              </w:rPr>
              <w:t>Secretario</w:t>
            </w:r>
          </w:p>
        </w:tc>
      </w:tr>
      <w:tr w:rsidR="007605E6" w:rsidRPr="00382A62" w14:paraId="72ADCBFD" w14:textId="77777777" w:rsidTr="007D00B2">
        <w:trPr>
          <w:trHeight w:val="20"/>
          <w:jc w:val="center"/>
        </w:trPr>
        <w:tc>
          <w:tcPr>
            <w:tcW w:w="3340" w:type="dxa"/>
            <w:shd w:val="clear" w:color="auto" w:fill="auto"/>
            <w:vAlign w:val="center"/>
            <w:hideMark/>
          </w:tcPr>
          <w:p w14:paraId="17A3691A" w14:textId="77777777" w:rsidR="007605E6" w:rsidRPr="00382A62" w:rsidRDefault="007605E6" w:rsidP="007D00B2">
            <w:pPr>
              <w:spacing w:line="276" w:lineRule="auto"/>
              <w:contextualSpacing/>
              <w:rPr>
                <w:rFonts w:cs="Arial"/>
                <w:szCs w:val="20"/>
              </w:rPr>
            </w:pPr>
            <w:r w:rsidRPr="00382A62">
              <w:rPr>
                <w:rFonts w:cs="Arial"/>
                <w:szCs w:val="20"/>
              </w:rPr>
              <w:t xml:space="preserve">Roberto Truque Harrington                        </w:t>
            </w:r>
          </w:p>
        </w:tc>
        <w:tc>
          <w:tcPr>
            <w:tcW w:w="3440" w:type="dxa"/>
            <w:shd w:val="clear" w:color="auto" w:fill="auto"/>
            <w:noWrap/>
            <w:vAlign w:val="center"/>
            <w:hideMark/>
          </w:tcPr>
          <w:p w14:paraId="7303C51D" w14:textId="77777777" w:rsidR="007605E6" w:rsidRPr="00382A62" w:rsidRDefault="007605E6" w:rsidP="007D00B2">
            <w:pPr>
              <w:spacing w:line="276" w:lineRule="auto"/>
              <w:contextualSpacing/>
              <w:jc w:val="center"/>
              <w:rPr>
                <w:rFonts w:cs="Arial"/>
                <w:szCs w:val="20"/>
              </w:rPr>
            </w:pPr>
            <w:r w:rsidRPr="00382A62">
              <w:rPr>
                <w:rFonts w:cs="Arial"/>
                <w:szCs w:val="20"/>
              </w:rPr>
              <w:t>Miembro</w:t>
            </w:r>
          </w:p>
        </w:tc>
      </w:tr>
    </w:tbl>
    <w:p w14:paraId="10779CD4" w14:textId="77777777" w:rsidR="007605E6" w:rsidRPr="00382A62" w:rsidRDefault="007605E6" w:rsidP="007605E6">
      <w:pPr>
        <w:spacing w:line="240" w:lineRule="auto"/>
        <w:rPr>
          <w:rFonts w:cs="Arial"/>
          <w:color w:val="7F7F7F" w:themeColor="text1" w:themeTint="80"/>
          <w:szCs w:val="20"/>
        </w:rPr>
      </w:pPr>
    </w:p>
    <w:p w14:paraId="57C8247E" w14:textId="77777777" w:rsidR="007605E6" w:rsidRPr="00382A62" w:rsidRDefault="007605E6" w:rsidP="007605E6">
      <w:pPr>
        <w:spacing w:line="240" w:lineRule="auto"/>
        <w:rPr>
          <w:rFonts w:cs="Arial"/>
          <w:color w:val="7F7F7F" w:themeColor="text1" w:themeTint="80"/>
          <w:szCs w:val="20"/>
        </w:rPr>
      </w:pPr>
      <w:r w:rsidRPr="00382A62">
        <w:rPr>
          <w:rFonts w:cs="Arial"/>
          <w:color w:val="7F7F7F" w:themeColor="text1" w:themeTint="80"/>
          <w:szCs w:val="20"/>
        </w:rPr>
        <w:t xml:space="preserve">Nota: No existen relaciones de parentesco entre los miembros de la Junta Directiva y los miembros de la Administración.  </w:t>
      </w:r>
    </w:p>
    <w:p w14:paraId="342CC772" w14:textId="77777777" w:rsidR="007605E6" w:rsidRPr="00382A62" w:rsidRDefault="007605E6" w:rsidP="007605E6">
      <w:pPr>
        <w:spacing w:line="240" w:lineRule="auto"/>
        <w:rPr>
          <w:rFonts w:cs="Arial"/>
          <w:color w:val="7F7F7F" w:themeColor="text1" w:themeTint="80"/>
          <w:szCs w:val="20"/>
        </w:rPr>
      </w:pPr>
    </w:p>
    <w:p w14:paraId="34EC39CE" w14:textId="77777777" w:rsidR="007605E6" w:rsidRPr="00382A62" w:rsidRDefault="007605E6" w:rsidP="007605E6">
      <w:pPr>
        <w:pStyle w:val="Ttulo2"/>
        <w:numPr>
          <w:ilvl w:val="0"/>
          <w:numId w:val="12"/>
        </w:numPr>
        <w:rPr>
          <w:rFonts w:cs="Arial"/>
          <w:sz w:val="20"/>
          <w:szCs w:val="20"/>
        </w:rPr>
      </w:pPr>
      <w:bookmarkStart w:id="263" w:name="_Toc131092924"/>
      <w:bookmarkStart w:id="264" w:name="_Toc131501125"/>
      <w:bookmarkStart w:id="265" w:name="_Toc169624684"/>
      <w:r w:rsidRPr="00382A62">
        <w:rPr>
          <w:rFonts w:cs="Arial"/>
          <w:sz w:val="20"/>
          <w:szCs w:val="20"/>
        </w:rPr>
        <w:t>Personal Gerencial</w:t>
      </w:r>
      <w:bookmarkEnd w:id="263"/>
      <w:bookmarkEnd w:id="264"/>
      <w:bookmarkEnd w:id="265"/>
    </w:p>
    <w:p w14:paraId="6572620F" w14:textId="77777777" w:rsidR="007605E6" w:rsidRPr="00382A62" w:rsidRDefault="007605E6" w:rsidP="007605E6">
      <w:pPr>
        <w:rPr>
          <w:rFonts w:cs="Arial"/>
          <w:szCs w:val="20"/>
        </w:rPr>
      </w:pPr>
      <w:r w:rsidRPr="00382A62">
        <w:rPr>
          <w:rFonts w:cs="Arial"/>
          <w:szCs w:val="20"/>
        </w:rPr>
        <w:t>El personal Directivo y Gerencial de FIFCO tiene amplia experiencia en la Compañía, así como en empresas nacionales y transnacionales de los campos de tecnología, consumo masivo, industria y bebidas, entre otros. Esto les ha permitido acumular una interesante experiencia que les faculta y respalda para ejercer una labor profesional con habilidades y destrezas importantes que se reflejan en los continuos resultados en el desarrollo de la Compañía.</w:t>
      </w:r>
    </w:p>
    <w:p w14:paraId="7028CB90" w14:textId="77777777" w:rsidR="007605E6" w:rsidRPr="00382A62" w:rsidRDefault="007605E6" w:rsidP="007605E6">
      <w:pPr>
        <w:rPr>
          <w:rFonts w:cs="Arial"/>
          <w:szCs w:val="20"/>
        </w:rPr>
      </w:pPr>
    </w:p>
    <w:p w14:paraId="681645A7"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6505969A" w14:textId="77777777" w:rsidTr="007D00B2">
        <w:tc>
          <w:tcPr>
            <w:tcW w:w="5035" w:type="dxa"/>
            <w:tcBorders>
              <w:bottom w:val="single" w:sz="18" w:space="0" w:color="A6A6A6" w:themeColor="background1" w:themeShade="A6"/>
            </w:tcBorders>
          </w:tcPr>
          <w:p w14:paraId="0020ADAB" w14:textId="77777777" w:rsidR="0094255F" w:rsidRPr="00382A62" w:rsidRDefault="00976440" w:rsidP="007D00B2">
            <w:pPr>
              <w:jc w:val="right"/>
              <w:rPr>
                <w:rFonts w:cs="Arial"/>
                <w:b/>
                <w:bCs/>
                <w:szCs w:val="20"/>
              </w:rPr>
            </w:pPr>
            <w:r w:rsidRPr="00382A62">
              <w:rPr>
                <w:rFonts w:cs="Arial"/>
                <w:b/>
                <w:bCs/>
                <w:szCs w:val="20"/>
              </w:rPr>
              <w:t>Rolando Carvajal Bravo</w:t>
            </w:r>
          </w:p>
          <w:p w14:paraId="3DA3CD7C" w14:textId="0CAA663B" w:rsidR="007605E6" w:rsidRPr="00382A62" w:rsidRDefault="00976440" w:rsidP="007D00B2">
            <w:pPr>
              <w:jc w:val="right"/>
              <w:rPr>
                <w:rFonts w:cs="Arial"/>
                <w:szCs w:val="20"/>
              </w:rPr>
            </w:pPr>
            <w:r w:rsidRPr="00382A62">
              <w:rPr>
                <w:rFonts w:cs="Arial"/>
                <w:b/>
                <w:bCs/>
                <w:szCs w:val="20"/>
              </w:rPr>
              <w:t xml:space="preserve"> </w:t>
            </w:r>
            <w:r w:rsidR="007605E6" w:rsidRPr="00382A62">
              <w:rPr>
                <w:rFonts w:cs="Arial"/>
                <w:szCs w:val="20"/>
              </w:rPr>
              <w:t>Director General</w:t>
            </w:r>
          </w:p>
        </w:tc>
        <w:tc>
          <w:tcPr>
            <w:tcW w:w="5035" w:type="dxa"/>
            <w:vMerge w:val="restart"/>
          </w:tcPr>
          <w:p w14:paraId="500EDB72" w14:textId="557232B4" w:rsidR="007605E6" w:rsidRPr="00382A62" w:rsidRDefault="001B3A53" w:rsidP="007D00B2">
            <w:pPr>
              <w:jc w:val="center"/>
              <w:rPr>
                <w:rFonts w:cs="Arial"/>
                <w:szCs w:val="20"/>
              </w:rPr>
            </w:pPr>
            <w:r w:rsidRPr="00382A62">
              <w:rPr>
                <w:rFonts w:cs="Arial"/>
                <w:noProof/>
                <w:szCs w:val="20"/>
              </w:rPr>
              <w:drawing>
                <wp:inline distT="0" distB="0" distL="0" distR="0" wp14:anchorId="19101117" wp14:editId="1B4FE481">
                  <wp:extent cx="2047875" cy="2109019"/>
                  <wp:effectExtent l="0" t="0" r="0" b="5715"/>
                  <wp:docPr id="8896979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97905" name=""/>
                          <pic:cNvPicPr/>
                        </pic:nvPicPr>
                        <pic:blipFill rotWithShape="1">
                          <a:blip r:embed="rId29"/>
                          <a:srcRect b="13845"/>
                          <a:stretch/>
                        </pic:blipFill>
                        <pic:spPr bwMode="auto">
                          <a:xfrm>
                            <a:off x="0" y="0"/>
                            <a:ext cx="2047875" cy="2109019"/>
                          </a:xfrm>
                          <a:prstGeom prst="rect">
                            <a:avLst/>
                          </a:prstGeom>
                          <a:ln>
                            <a:noFill/>
                          </a:ln>
                          <a:extLst>
                            <a:ext uri="{53640926-AAD7-44D8-BBD7-CCE9431645EC}">
                              <a14:shadowObscured xmlns:a14="http://schemas.microsoft.com/office/drawing/2010/main"/>
                            </a:ext>
                          </a:extLst>
                        </pic:spPr>
                      </pic:pic>
                    </a:graphicData>
                  </a:graphic>
                </wp:inline>
              </w:drawing>
            </w:r>
          </w:p>
        </w:tc>
      </w:tr>
      <w:tr w:rsidR="007605E6" w:rsidRPr="00382A62" w14:paraId="250E1ECB" w14:textId="77777777" w:rsidTr="007D00B2">
        <w:tc>
          <w:tcPr>
            <w:tcW w:w="5035" w:type="dxa"/>
            <w:tcBorders>
              <w:top w:val="single" w:sz="18" w:space="0" w:color="A6A6A6" w:themeColor="background1" w:themeShade="A6"/>
            </w:tcBorders>
          </w:tcPr>
          <w:p w14:paraId="226F8B42" w14:textId="77777777" w:rsidR="007605E6" w:rsidRPr="00382A62" w:rsidRDefault="007605E6" w:rsidP="007D00B2">
            <w:pPr>
              <w:jc w:val="right"/>
              <w:rPr>
                <w:rFonts w:cs="Arial"/>
                <w:szCs w:val="20"/>
              </w:rPr>
            </w:pPr>
          </w:p>
          <w:p w14:paraId="2C3E1960" w14:textId="77777777" w:rsidR="007605E6" w:rsidRPr="00382A62" w:rsidRDefault="007605E6" w:rsidP="007D00B2">
            <w:pPr>
              <w:jc w:val="right"/>
              <w:rPr>
                <w:rFonts w:cs="Arial"/>
                <w:szCs w:val="20"/>
              </w:rPr>
            </w:pPr>
            <w:r w:rsidRPr="00382A62">
              <w:rPr>
                <w:rFonts w:cs="Arial"/>
                <w:szCs w:val="20"/>
              </w:rPr>
              <w:t>Nacionalidad: Costarricense</w:t>
            </w:r>
          </w:p>
          <w:p w14:paraId="65604CC4" w14:textId="67EB954E" w:rsidR="007605E6" w:rsidRPr="00382A62" w:rsidRDefault="007605E6" w:rsidP="007D00B2">
            <w:pPr>
              <w:jc w:val="right"/>
              <w:rPr>
                <w:rFonts w:cs="Arial"/>
                <w:szCs w:val="20"/>
              </w:rPr>
            </w:pPr>
            <w:r w:rsidRPr="00382A62">
              <w:rPr>
                <w:rFonts w:cs="Arial"/>
                <w:szCs w:val="20"/>
              </w:rPr>
              <w:t>Año de nacimiento: 19</w:t>
            </w:r>
            <w:r w:rsidR="0031438A" w:rsidRPr="00382A62">
              <w:rPr>
                <w:rFonts w:cs="Arial"/>
                <w:szCs w:val="20"/>
              </w:rPr>
              <w:t>70</w:t>
            </w:r>
          </w:p>
          <w:p w14:paraId="3A6DF3B0" w14:textId="330EA0BF" w:rsidR="007605E6" w:rsidRPr="00382A62" w:rsidRDefault="000237CB" w:rsidP="007D00B2">
            <w:pPr>
              <w:jc w:val="right"/>
              <w:rPr>
                <w:rFonts w:cs="Arial"/>
                <w:szCs w:val="20"/>
              </w:rPr>
            </w:pPr>
            <w:r w:rsidRPr="00382A62">
              <w:rPr>
                <w:rFonts w:cs="Arial"/>
                <w:szCs w:val="20"/>
              </w:rPr>
              <w:t>Ingreso: 27 de octubre de 2003</w:t>
            </w:r>
          </w:p>
        </w:tc>
        <w:tc>
          <w:tcPr>
            <w:tcW w:w="5035" w:type="dxa"/>
            <w:vMerge/>
          </w:tcPr>
          <w:p w14:paraId="272A83C7" w14:textId="77777777" w:rsidR="007605E6" w:rsidRPr="00382A62" w:rsidRDefault="007605E6" w:rsidP="007D00B2">
            <w:pPr>
              <w:rPr>
                <w:rFonts w:cs="Arial"/>
                <w:szCs w:val="20"/>
              </w:rPr>
            </w:pPr>
          </w:p>
        </w:tc>
      </w:tr>
    </w:tbl>
    <w:p w14:paraId="29C01FC0" w14:textId="77777777" w:rsidR="007605E6" w:rsidRPr="00382A62" w:rsidRDefault="007605E6" w:rsidP="007605E6">
      <w:pPr>
        <w:rPr>
          <w:rFonts w:cs="Arial"/>
          <w:szCs w:val="20"/>
        </w:rPr>
      </w:pPr>
    </w:p>
    <w:p w14:paraId="4A8EBF99"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2B1D2BA8" w14:textId="77777777" w:rsidTr="007D00B2">
        <w:tc>
          <w:tcPr>
            <w:tcW w:w="5035" w:type="dxa"/>
            <w:vMerge w:val="restart"/>
          </w:tcPr>
          <w:p w14:paraId="615928EC" w14:textId="1D541AD4" w:rsidR="007605E6" w:rsidRPr="00382A62" w:rsidRDefault="000237CB" w:rsidP="007D00B2">
            <w:pPr>
              <w:jc w:val="center"/>
              <w:rPr>
                <w:rFonts w:cs="Arial"/>
                <w:szCs w:val="20"/>
              </w:rPr>
            </w:pPr>
            <w:r w:rsidRPr="00382A62">
              <w:rPr>
                <w:rFonts w:cs="Arial"/>
                <w:noProof/>
                <w:szCs w:val="20"/>
              </w:rPr>
              <w:drawing>
                <wp:inline distT="0" distB="0" distL="0" distR="0" wp14:anchorId="3E95E818" wp14:editId="17F5B996">
                  <wp:extent cx="2076450" cy="1990725"/>
                  <wp:effectExtent l="0" t="0" r="0" b="9525"/>
                  <wp:docPr id="645800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0038" name=""/>
                          <pic:cNvPicPr/>
                        </pic:nvPicPr>
                        <pic:blipFill>
                          <a:blip r:embed="rId30"/>
                          <a:stretch>
                            <a:fillRect/>
                          </a:stretch>
                        </pic:blipFill>
                        <pic:spPr>
                          <a:xfrm>
                            <a:off x="0" y="0"/>
                            <a:ext cx="2076450" cy="1990725"/>
                          </a:xfrm>
                          <a:prstGeom prst="rect">
                            <a:avLst/>
                          </a:prstGeom>
                        </pic:spPr>
                      </pic:pic>
                    </a:graphicData>
                  </a:graphic>
                </wp:inline>
              </w:drawing>
            </w:r>
          </w:p>
        </w:tc>
        <w:tc>
          <w:tcPr>
            <w:tcW w:w="5035" w:type="dxa"/>
            <w:tcBorders>
              <w:bottom w:val="single" w:sz="18" w:space="0" w:color="A6A6A6" w:themeColor="background1" w:themeShade="A6"/>
            </w:tcBorders>
          </w:tcPr>
          <w:p w14:paraId="3483C57E" w14:textId="77777777" w:rsidR="007605E6" w:rsidRPr="00382A62" w:rsidRDefault="007605E6" w:rsidP="007D00B2">
            <w:pPr>
              <w:rPr>
                <w:rFonts w:cs="Arial"/>
                <w:b/>
                <w:bCs/>
                <w:szCs w:val="20"/>
              </w:rPr>
            </w:pPr>
            <w:r w:rsidRPr="00382A62">
              <w:rPr>
                <w:rFonts w:cs="Arial"/>
                <w:b/>
                <w:bCs/>
                <w:szCs w:val="20"/>
              </w:rPr>
              <w:t>Carlos Manuel Rojas Koberg</w:t>
            </w:r>
          </w:p>
          <w:p w14:paraId="3E3C51DC" w14:textId="77777777" w:rsidR="007605E6" w:rsidRPr="00382A62" w:rsidRDefault="007605E6" w:rsidP="007D00B2">
            <w:pPr>
              <w:rPr>
                <w:rFonts w:cs="Arial"/>
                <w:szCs w:val="20"/>
              </w:rPr>
            </w:pPr>
            <w:r w:rsidRPr="00382A62">
              <w:rPr>
                <w:rFonts w:cs="Arial"/>
                <w:szCs w:val="20"/>
              </w:rPr>
              <w:t>Director de Finanzas y Servicios Corporativos</w:t>
            </w:r>
          </w:p>
        </w:tc>
      </w:tr>
      <w:tr w:rsidR="007605E6" w:rsidRPr="00382A62" w14:paraId="0A5031FB" w14:textId="77777777" w:rsidTr="007D00B2">
        <w:tc>
          <w:tcPr>
            <w:tcW w:w="5035" w:type="dxa"/>
            <w:vMerge/>
          </w:tcPr>
          <w:p w14:paraId="1920917E"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117A50DD" w14:textId="77777777" w:rsidR="007605E6" w:rsidRPr="00382A62" w:rsidRDefault="007605E6" w:rsidP="007D00B2">
            <w:pPr>
              <w:rPr>
                <w:rFonts w:cs="Arial"/>
                <w:szCs w:val="20"/>
              </w:rPr>
            </w:pPr>
          </w:p>
          <w:p w14:paraId="1C7CE9B5" w14:textId="77777777" w:rsidR="007605E6" w:rsidRPr="00382A62" w:rsidRDefault="007605E6" w:rsidP="007D00B2">
            <w:pPr>
              <w:rPr>
                <w:rFonts w:cs="Arial"/>
                <w:szCs w:val="20"/>
              </w:rPr>
            </w:pPr>
            <w:r w:rsidRPr="00382A62">
              <w:rPr>
                <w:rFonts w:cs="Arial"/>
                <w:szCs w:val="20"/>
              </w:rPr>
              <w:t>Nacionalidad: Costarricense</w:t>
            </w:r>
          </w:p>
          <w:p w14:paraId="7F1E79CD" w14:textId="77777777" w:rsidR="007605E6" w:rsidRPr="00382A62" w:rsidRDefault="007605E6" w:rsidP="007D00B2">
            <w:pPr>
              <w:rPr>
                <w:rFonts w:cs="Arial"/>
                <w:szCs w:val="20"/>
              </w:rPr>
            </w:pPr>
            <w:r w:rsidRPr="00382A62">
              <w:rPr>
                <w:rFonts w:cs="Arial"/>
                <w:szCs w:val="20"/>
              </w:rPr>
              <w:t>Año de nacimiento: 1967</w:t>
            </w:r>
          </w:p>
          <w:p w14:paraId="4F339E64" w14:textId="77777777" w:rsidR="007605E6" w:rsidRPr="00382A62" w:rsidRDefault="007605E6" w:rsidP="007D00B2">
            <w:pPr>
              <w:rPr>
                <w:rFonts w:cs="Arial"/>
                <w:szCs w:val="20"/>
              </w:rPr>
            </w:pPr>
            <w:r w:rsidRPr="00382A62">
              <w:rPr>
                <w:rFonts w:cs="Arial"/>
                <w:szCs w:val="20"/>
              </w:rPr>
              <w:t>Ingreso: 1° de noviembre de 2003</w:t>
            </w:r>
          </w:p>
        </w:tc>
      </w:tr>
    </w:tbl>
    <w:p w14:paraId="419A20E2" w14:textId="77777777" w:rsidR="007605E6" w:rsidRPr="00382A62" w:rsidRDefault="007605E6" w:rsidP="007605E6">
      <w:pPr>
        <w:rPr>
          <w:rFonts w:cs="Arial"/>
          <w:szCs w:val="20"/>
        </w:rPr>
      </w:pPr>
    </w:p>
    <w:p w14:paraId="50EC4881" w14:textId="0F775B04" w:rsidR="007605E6" w:rsidRPr="00382A62" w:rsidRDefault="007605E6" w:rsidP="007605E6">
      <w:pPr>
        <w:rPr>
          <w:rFonts w:cs="Arial"/>
          <w:szCs w:val="20"/>
        </w:rPr>
      </w:pPr>
    </w:p>
    <w:p w14:paraId="70EB51BC" w14:textId="0EAB9CB9" w:rsidR="00474D09" w:rsidRPr="00382A62" w:rsidRDefault="00474D09" w:rsidP="007605E6">
      <w:pPr>
        <w:rPr>
          <w:rFonts w:cs="Arial"/>
          <w:szCs w:val="20"/>
        </w:rPr>
      </w:pPr>
    </w:p>
    <w:p w14:paraId="0F7B3E12" w14:textId="77777777" w:rsidR="0012517C" w:rsidRPr="00382A62" w:rsidRDefault="0012517C"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32C9F09F" w14:textId="77777777" w:rsidTr="007D00B2">
        <w:tc>
          <w:tcPr>
            <w:tcW w:w="5035" w:type="dxa"/>
            <w:vMerge w:val="restart"/>
          </w:tcPr>
          <w:p w14:paraId="07CBC407" w14:textId="1CA77568" w:rsidR="007605E6" w:rsidRPr="00382A62" w:rsidRDefault="00A236CE" w:rsidP="007D00B2">
            <w:pPr>
              <w:jc w:val="center"/>
              <w:rPr>
                <w:rFonts w:cs="Arial"/>
                <w:szCs w:val="20"/>
              </w:rPr>
            </w:pPr>
            <w:r w:rsidRPr="00382A62">
              <w:rPr>
                <w:rFonts w:cs="Arial"/>
                <w:noProof/>
                <w:szCs w:val="20"/>
              </w:rPr>
              <w:drawing>
                <wp:inline distT="0" distB="0" distL="0" distR="0" wp14:anchorId="5F4FC798" wp14:editId="12A90C3E">
                  <wp:extent cx="2124075" cy="2143125"/>
                  <wp:effectExtent l="0" t="0" r="9525" b="9525"/>
                  <wp:docPr id="480485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8507" name=""/>
                          <pic:cNvPicPr/>
                        </pic:nvPicPr>
                        <pic:blipFill>
                          <a:blip r:embed="rId31"/>
                          <a:stretch>
                            <a:fillRect/>
                          </a:stretch>
                        </pic:blipFill>
                        <pic:spPr>
                          <a:xfrm>
                            <a:off x="0" y="0"/>
                            <a:ext cx="2124075" cy="2143125"/>
                          </a:xfrm>
                          <a:prstGeom prst="rect">
                            <a:avLst/>
                          </a:prstGeom>
                        </pic:spPr>
                      </pic:pic>
                    </a:graphicData>
                  </a:graphic>
                </wp:inline>
              </w:drawing>
            </w:r>
          </w:p>
        </w:tc>
        <w:tc>
          <w:tcPr>
            <w:tcW w:w="5035" w:type="dxa"/>
            <w:tcBorders>
              <w:bottom w:val="single" w:sz="18" w:space="0" w:color="A6A6A6" w:themeColor="background1" w:themeShade="A6"/>
            </w:tcBorders>
          </w:tcPr>
          <w:p w14:paraId="2F2BE303" w14:textId="77777777" w:rsidR="007605E6" w:rsidRPr="00382A62" w:rsidRDefault="007605E6" w:rsidP="007D00B2">
            <w:pPr>
              <w:rPr>
                <w:rFonts w:cs="Arial"/>
                <w:b/>
                <w:bCs/>
                <w:szCs w:val="20"/>
              </w:rPr>
            </w:pPr>
            <w:r w:rsidRPr="00382A62">
              <w:rPr>
                <w:rFonts w:cs="Arial"/>
                <w:b/>
                <w:bCs/>
                <w:szCs w:val="20"/>
              </w:rPr>
              <w:t>Rafael Segovia Fonseca</w:t>
            </w:r>
          </w:p>
          <w:p w14:paraId="41B0B2D8" w14:textId="77777777" w:rsidR="007605E6" w:rsidRPr="00382A62" w:rsidRDefault="007605E6" w:rsidP="007D00B2">
            <w:pPr>
              <w:rPr>
                <w:rFonts w:cs="Arial"/>
                <w:szCs w:val="20"/>
              </w:rPr>
            </w:pPr>
            <w:r w:rsidRPr="00382A62">
              <w:rPr>
                <w:rFonts w:cs="Arial"/>
                <w:szCs w:val="20"/>
              </w:rPr>
              <w:t>Director de Transformación</w:t>
            </w:r>
          </w:p>
        </w:tc>
      </w:tr>
      <w:tr w:rsidR="007605E6" w:rsidRPr="00382A62" w14:paraId="73371959" w14:textId="77777777" w:rsidTr="007D00B2">
        <w:tc>
          <w:tcPr>
            <w:tcW w:w="5035" w:type="dxa"/>
            <w:vMerge/>
          </w:tcPr>
          <w:p w14:paraId="0820C9AC"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6CE59104" w14:textId="77777777" w:rsidR="007605E6" w:rsidRPr="00382A62" w:rsidRDefault="007605E6" w:rsidP="007D00B2">
            <w:pPr>
              <w:rPr>
                <w:rFonts w:cs="Arial"/>
                <w:szCs w:val="20"/>
              </w:rPr>
            </w:pPr>
          </w:p>
          <w:p w14:paraId="3DF935DF" w14:textId="77777777" w:rsidR="007605E6" w:rsidRPr="00382A62" w:rsidRDefault="007605E6" w:rsidP="007D00B2">
            <w:pPr>
              <w:rPr>
                <w:rFonts w:cs="Arial"/>
                <w:szCs w:val="20"/>
              </w:rPr>
            </w:pPr>
            <w:r w:rsidRPr="00382A62">
              <w:rPr>
                <w:rFonts w:cs="Arial"/>
                <w:szCs w:val="20"/>
              </w:rPr>
              <w:t>Nacionalidad: Costarricense</w:t>
            </w:r>
          </w:p>
          <w:p w14:paraId="1C9489C0" w14:textId="77777777" w:rsidR="007605E6" w:rsidRPr="00382A62" w:rsidRDefault="007605E6" w:rsidP="007D00B2">
            <w:pPr>
              <w:rPr>
                <w:rFonts w:cs="Arial"/>
                <w:szCs w:val="20"/>
              </w:rPr>
            </w:pPr>
            <w:r w:rsidRPr="00382A62">
              <w:rPr>
                <w:rFonts w:cs="Arial"/>
                <w:szCs w:val="20"/>
              </w:rPr>
              <w:t>Año de nacimiento: 1965</w:t>
            </w:r>
          </w:p>
          <w:p w14:paraId="09754725" w14:textId="77777777" w:rsidR="007605E6" w:rsidRPr="00382A62" w:rsidRDefault="007605E6" w:rsidP="007D00B2">
            <w:pPr>
              <w:rPr>
                <w:rFonts w:cs="Arial"/>
                <w:szCs w:val="20"/>
              </w:rPr>
            </w:pPr>
            <w:r w:rsidRPr="00382A62">
              <w:rPr>
                <w:rFonts w:cs="Arial"/>
                <w:szCs w:val="20"/>
              </w:rPr>
              <w:t>Ingreso: 2 de febrero de 2004</w:t>
            </w:r>
          </w:p>
        </w:tc>
      </w:tr>
    </w:tbl>
    <w:p w14:paraId="285C0ADD"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1A0E6FE3" w14:textId="77777777" w:rsidTr="007D00B2">
        <w:tc>
          <w:tcPr>
            <w:tcW w:w="5035" w:type="dxa"/>
            <w:tcBorders>
              <w:bottom w:val="single" w:sz="18" w:space="0" w:color="A6A6A6" w:themeColor="background1" w:themeShade="A6"/>
            </w:tcBorders>
          </w:tcPr>
          <w:p w14:paraId="3F391A15" w14:textId="77777777" w:rsidR="0094255F" w:rsidRPr="00382A62" w:rsidRDefault="0094255F" w:rsidP="007D00B2">
            <w:pPr>
              <w:jc w:val="right"/>
              <w:rPr>
                <w:rFonts w:cs="Arial"/>
                <w:b/>
                <w:bCs/>
                <w:szCs w:val="20"/>
              </w:rPr>
            </w:pPr>
            <w:r w:rsidRPr="00382A62">
              <w:rPr>
                <w:rFonts w:cs="Arial"/>
                <w:b/>
                <w:bCs/>
                <w:szCs w:val="20"/>
              </w:rPr>
              <w:t xml:space="preserve">Gabriel Ramírez Loría </w:t>
            </w:r>
          </w:p>
          <w:p w14:paraId="658E4290" w14:textId="40956B10" w:rsidR="007605E6" w:rsidRPr="00382A62" w:rsidRDefault="007605E6" w:rsidP="007D00B2">
            <w:pPr>
              <w:jc w:val="right"/>
              <w:rPr>
                <w:rFonts w:cs="Arial"/>
                <w:szCs w:val="20"/>
              </w:rPr>
            </w:pPr>
            <w:r w:rsidRPr="00382A62">
              <w:rPr>
                <w:rFonts w:cs="Arial"/>
                <w:szCs w:val="20"/>
              </w:rPr>
              <w:t>Director Corporativo de Mercadeo</w:t>
            </w:r>
          </w:p>
        </w:tc>
        <w:tc>
          <w:tcPr>
            <w:tcW w:w="5035" w:type="dxa"/>
            <w:vMerge w:val="restart"/>
          </w:tcPr>
          <w:p w14:paraId="1D9C8E5E" w14:textId="781D4BE0" w:rsidR="007605E6" w:rsidRPr="00382A62" w:rsidRDefault="0094255F" w:rsidP="007D00B2">
            <w:pPr>
              <w:jc w:val="center"/>
              <w:rPr>
                <w:rFonts w:cs="Arial"/>
                <w:szCs w:val="20"/>
              </w:rPr>
            </w:pPr>
            <w:r w:rsidRPr="00382A62">
              <w:rPr>
                <w:rFonts w:cs="Arial"/>
                <w:noProof/>
                <w:szCs w:val="20"/>
              </w:rPr>
              <w:drawing>
                <wp:inline distT="0" distB="0" distL="0" distR="0" wp14:anchorId="16F4BC20" wp14:editId="45E1D2E5">
                  <wp:extent cx="2190750" cy="2314575"/>
                  <wp:effectExtent l="0" t="0" r="0" b="9525"/>
                  <wp:docPr id="10278008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00878" name=""/>
                          <pic:cNvPicPr/>
                        </pic:nvPicPr>
                        <pic:blipFill>
                          <a:blip r:embed="rId32"/>
                          <a:stretch>
                            <a:fillRect/>
                          </a:stretch>
                        </pic:blipFill>
                        <pic:spPr>
                          <a:xfrm>
                            <a:off x="0" y="0"/>
                            <a:ext cx="2190750" cy="2314575"/>
                          </a:xfrm>
                          <a:prstGeom prst="rect">
                            <a:avLst/>
                          </a:prstGeom>
                        </pic:spPr>
                      </pic:pic>
                    </a:graphicData>
                  </a:graphic>
                </wp:inline>
              </w:drawing>
            </w:r>
          </w:p>
        </w:tc>
      </w:tr>
      <w:tr w:rsidR="007605E6" w:rsidRPr="00382A62" w14:paraId="67A34063" w14:textId="77777777" w:rsidTr="007D00B2">
        <w:tc>
          <w:tcPr>
            <w:tcW w:w="5035" w:type="dxa"/>
            <w:tcBorders>
              <w:top w:val="single" w:sz="18" w:space="0" w:color="A6A6A6" w:themeColor="background1" w:themeShade="A6"/>
            </w:tcBorders>
          </w:tcPr>
          <w:p w14:paraId="36E712BC" w14:textId="77777777" w:rsidR="007605E6" w:rsidRPr="00382A62" w:rsidRDefault="007605E6" w:rsidP="007D00B2">
            <w:pPr>
              <w:jc w:val="right"/>
              <w:rPr>
                <w:rFonts w:cs="Arial"/>
                <w:szCs w:val="20"/>
              </w:rPr>
            </w:pPr>
          </w:p>
          <w:p w14:paraId="59C683C5" w14:textId="7E7E7B4E" w:rsidR="007605E6" w:rsidRPr="00382A62" w:rsidRDefault="007605E6" w:rsidP="007D00B2">
            <w:pPr>
              <w:jc w:val="right"/>
              <w:rPr>
                <w:rFonts w:cs="Arial"/>
                <w:szCs w:val="20"/>
              </w:rPr>
            </w:pPr>
            <w:r w:rsidRPr="00382A62">
              <w:rPr>
                <w:rFonts w:cs="Arial"/>
                <w:szCs w:val="20"/>
              </w:rPr>
              <w:t xml:space="preserve">Nacionalidad: </w:t>
            </w:r>
            <w:r w:rsidR="002F3DBE" w:rsidRPr="00382A62">
              <w:rPr>
                <w:rFonts w:cs="Arial"/>
                <w:szCs w:val="20"/>
              </w:rPr>
              <w:t>Costarricense</w:t>
            </w:r>
          </w:p>
          <w:p w14:paraId="2FBA15BA" w14:textId="65C08BCB" w:rsidR="007605E6" w:rsidRPr="00382A62" w:rsidRDefault="007605E6" w:rsidP="007D00B2">
            <w:pPr>
              <w:jc w:val="right"/>
              <w:rPr>
                <w:rFonts w:cs="Arial"/>
                <w:szCs w:val="20"/>
              </w:rPr>
            </w:pPr>
            <w:r w:rsidRPr="00382A62">
              <w:rPr>
                <w:rFonts w:cs="Arial"/>
                <w:szCs w:val="20"/>
              </w:rPr>
              <w:t xml:space="preserve">Año de nacimiento: </w:t>
            </w:r>
            <w:r w:rsidR="002745BD" w:rsidRPr="00382A62">
              <w:rPr>
                <w:rFonts w:cs="Arial"/>
                <w:szCs w:val="20"/>
              </w:rPr>
              <w:t>1988</w:t>
            </w:r>
          </w:p>
          <w:p w14:paraId="10E04F66" w14:textId="3483E4B1" w:rsidR="007605E6" w:rsidRPr="00382A62" w:rsidRDefault="007605E6" w:rsidP="007D00B2">
            <w:pPr>
              <w:jc w:val="right"/>
              <w:rPr>
                <w:rFonts w:cs="Arial"/>
                <w:szCs w:val="20"/>
              </w:rPr>
            </w:pPr>
            <w:r w:rsidRPr="00382A62">
              <w:rPr>
                <w:rFonts w:cs="Arial"/>
                <w:szCs w:val="20"/>
              </w:rPr>
              <w:t xml:space="preserve">Ingreso: </w:t>
            </w:r>
            <w:r w:rsidR="008F54E8" w:rsidRPr="00382A62">
              <w:rPr>
                <w:rFonts w:cs="Arial"/>
                <w:szCs w:val="20"/>
              </w:rPr>
              <w:t>01 de octubre del 2010</w:t>
            </w:r>
          </w:p>
        </w:tc>
        <w:tc>
          <w:tcPr>
            <w:tcW w:w="5035" w:type="dxa"/>
            <w:vMerge/>
          </w:tcPr>
          <w:p w14:paraId="0852B2D5" w14:textId="77777777" w:rsidR="007605E6" w:rsidRPr="00382A62" w:rsidRDefault="007605E6" w:rsidP="007D00B2">
            <w:pPr>
              <w:rPr>
                <w:rFonts w:cs="Arial"/>
                <w:szCs w:val="20"/>
              </w:rPr>
            </w:pPr>
          </w:p>
        </w:tc>
      </w:tr>
    </w:tbl>
    <w:p w14:paraId="3722B22E"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70C18DC2" w14:textId="77777777" w:rsidTr="007D00B2">
        <w:tc>
          <w:tcPr>
            <w:tcW w:w="5035" w:type="dxa"/>
            <w:vMerge w:val="restart"/>
          </w:tcPr>
          <w:p w14:paraId="7F95442D" w14:textId="34EF4856" w:rsidR="007605E6" w:rsidRPr="00382A62" w:rsidRDefault="009C3B5D" w:rsidP="007D00B2">
            <w:pPr>
              <w:jc w:val="center"/>
              <w:rPr>
                <w:rFonts w:cs="Arial"/>
                <w:szCs w:val="20"/>
              </w:rPr>
            </w:pPr>
            <w:r w:rsidRPr="00382A62">
              <w:rPr>
                <w:rFonts w:cs="Arial"/>
                <w:noProof/>
                <w:szCs w:val="20"/>
              </w:rPr>
              <w:drawing>
                <wp:inline distT="0" distB="0" distL="0" distR="0" wp14:anchorId="5AB6ECB9" wp14:editId="65454A31">
                  <wp:extent cx="1878354" cy="1788520"/>
                  <wp:effectExtent l="0" t="0" r="7620" b="2540"/>
                  <wp:docPr id="3023738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73889" name=""/>
                          <pic:cNvPicPr/>
                        </pic:nvPicPr>
                        <pic:blipFill>
                          <a:blip r:embed="rId33"/>
                          <a:stretch>
                            <a:fillRect/>
                          </a:stretch>
                        </pic:blipFill>
                        <pic:spPr>
                          <a:xfrm>
                            <a:off x="0" y="0"/>
                            <a:ext cx="1880552" cy="1790612"/>
                          </a:xfrm>
                          <a:prstGeom prst="rect">
                            <a:avLst/>
                          </a:prstGeom>
                        </pic:spPr>
                      </pic:pic>
                    </a:graphicData>
                  </a:graphic>
                </wp:inline>
              </w:drawing>
            </w:r>
          </w:p>
        </w:tc>
        <w:tc>
          <w:tcPr>
            <w:tcW w:w="5035" w:type="dxa"/>
            <w:tcBorders>
              <w:bottom w:val="single" w:sz="18" w:space="0" w:color="A6A6A6" w:themeColor="background1" w:themeShade="A6"/>
            </w:tcBorders>
          </w:tcPr>
          <w:p w14:paraId="1C656810" w14:textId="77777777" w:rsidR="007605E6" w:rsidRPr="00382A62" w:rsidRDefault="007605E6" w:rsidP="007D00B2">
            <w:pPr>
              <w:rPr>
                <w:rFonts w:cs="Arial"/>
                <w:b/>
                <w:bCs/>
                <w:szCs w:val="20"/>
              </w:rPr>
            </w:pPr>
            <w:r w:rsidRPr="00382A62">
              <w:rPr>
                <w:rFonts w:cs="Arial"/>
                <w:b/>
                <w:bCs/>
                <w:szCs w:val="20"/>
              </w:rPr>
              <w:t>Scarlet Pietri Verenzuela</w:t>
            </w:r>
          </w:p>
          <w:p w14:paraId="7955EF12" w14:textId="77777777" w:rsidR="007605E6" w:rsidRPr="00382A62" w:rsidRDefault="007605E6" w:rsidP="007D00B2">
            <w:pPr>
              <w:rPr>
                <w:rFonts w:cs="Arial"/>
                <w:szCs w:val="20"/>
              </w:rPr>
            </w:pPr>
            <w:r w:rsidRPr="00382A62">
              <w:rPr>
                <w:rFonts w:cs="Arial"/>
                <w:szCs w:val="20"/>
              </w:rPr>
              <w:t>Directora de Talento</w:t>
            </w:r>
          </w:p>
        </w:tc>
      </w:tr>
      <w:tr w:rsidR="007605E6" w:rsidRPr="00382A62" w14:paraId="58332582" w14:textId="77777777" w:rsidTr="007D00B2">
        <w:tc>
          <w:tcPr>
            <w:tcW w:w="5035" w:type="dxa"/>
            <w:vMerge/>
          </w:tcPr>
          <w:p w14:paraId="4C682E02"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53B9D72B" w14:textId="77777777" w:rsidR="007605E6" w:rsidRPr="00382A62" w:rsidRDefault="007605E6" w:rsidP="007D00B2">
            <w:pPr>
              <w:rPr>
                <w:rFonts w:cs="Arial"/>
                <w:szCs w:val="20"/>
              </w:rPr>
            </w:pPr>
          </w:p>
          <w:p w14:paraId="1B8081A9" w14:textId="77777777" w:rsidR="007605E6" w:rsidRPr="00382A62" w:rsidRDefault="007605E6" w:rsidP="007D00B2">
            <w:pPr>
              <w:rPr>
                <w:rFonts w:cs="Arial"/>
                <w:szCs w:val="20"/>
              </w:rPr>
            </w:pPr>
            <w:r w:rsidRPr="00382A62">
              <w:rPr>
                <w:rFonts w:cs="Arial"/>
                <w:szCs w:val="20"/>
              </w:rPr>
              <w:t>Nacionalidad: Venezolana</w:t>
            </w:r>
          </w:p>
          <w:p w14:paraId="2BFAFF98" w14:textId="77777777" w:rsidR="007605E6" w:rsidRPr="00382A62" w:rsidRDefault="007605E6" w:rsidP="007D00B2">
            <w:pPr>
              <w:rPr>
                <w:rFonts w:cs="Arial"/>
                <w:szCs w:val="20"/>
              </w:rPr>
            </w:pPr>
            <w:r w:rsidRPr="00382A62">
              <w:rPr>
                <w:rFonts w:cs="Arial"/>
                <w:szCs w:val="20"/>
              </w:rPr>
              <w:t>Año de nacimiento: 1970</w:t>
            </w:r>
          </w:p>
          <w:p w14:paraId="572C43D5" w14:textId="77777777" w:rsidR="007605E6" w:rsidRPr="00382A62" w:rsidRDefault="007605E6" w:rsidP="007D00B2">
            <w:pPr>
              <w:rPr>
                <w:rFonts w:cs="Arial"/>
                <w:szCs w:val="20"/>
              </w:rPr>
            </w:pPr>
            <w:r w:rsidRPr="00382A62">
              <w:rPr>
                <w:rFonts w:cs="Arial"/>
                <w:szCs w:val="20"/>
              </w:rPr>
              <w:t>Ingreso: 15 de marzo de 2007</w:t>
            </w:r>
          </w:p>
        </w:tc>
      </w:tr>
    </w:tbl>
    <w:p w14:paraId="3D32D1FB" w14:textId="77777777" w:rsidR="007605E6" w:rsidRPr="00382A62" w:rsidRDefault="007605E6" w:rsidP="007605E6">
      <w:pPr>
        <w:rPr>
          <w:rFonts w:cs="Arial"/>
          <w:szCs w:val="20"/>
        </w:rPr>
      </w:pPr>
    </w:p>
    <w:p w14:paraId="61AE5748"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36E63CBD" w14:textId="77777777" w:rsidTr="007D00B2">
        <w:tc>
          <w:tcPr>
            <w:tcW w:w="5035" w:type="dxa"/>
            <w:tcBorders>
              <w:bottom w:val="single" w:sz="18" w:space="0" w:color="A6A6A6" w:themeColor="background1" w:themeShade="A6"/>
            </w:tcBorders>
          </w:tcPr>
          <w:p w14:paraId="785761D5" w14:textId="77777777" w:rsidR="007605E6" w:rsidRPr="00382A62" w:rsidRDefault="007605E6" w:rsidP="007D00B2">
            <w:pPr>
              <w:jc w:val="right"/>
              <w:rPr>
                <w:rFonts w:cs="Arial"/>
                <w:b/>
                <w:bCs/>
                <w:szCs w:val="20"/>
              </w:rPr>
            </w:pPr>
            <w:r w:rsidRPr="00382A62">
              <w:rPr>
                <w:rFonts w:cs="Arial"/>
                <w:b/>
                <w:bCs/>
                <w:szCs w:val="20"/>
              </w:rPr>
              <w:lastRenderedPageBreak/>
              <w:t>María Pía Robles Victory</w:t>
            </w:r>
          </w:p>
          <w:p w14:paraId="4B51322C" w14:textId="77777777" w:rsidR="007605E6" w:rsidRPr="00382A62" w:rsidRDefault="007605E6" w:rsidP="007D00B2">
            <w:pPr>
              <w:jc w:val="right"/>
              <w:rPr>
                <w:rFonts w:cs="Arial"/>
                <w:szCs w:val="20"/>
              </w:rPr>
            </w:pPr>
            <w:r w:rsidRPr="00382A62">
              <w:rPr>
                <w:rFonts w:cs="Arial"/>
                <w:szCs w:val="20"/>
              </w:rPr>
              <w:t>Directora de Relaciones Corporativas</w:t>
            </w:r>
          </w:p>
        </w:tc>
        <w:tc>
          <w:tcPr>
            <w:tcW w:w="5035" w:type="dxa"/>
            <w:vMerge w:val="restart"/>
          </w:tcPr>
          <w:p w14:paraId="04FE9D53" w14:textId="2969FFE3" w:rsidR="007605E6" w:rsidRPr="00382A62" w:rsidRDefault="009C3B5D" w:rsidP="007D00B2">
            <w:pPr>
              <w:jc w:val="center"/>
              <w:rPr>
                <w:rFonts w:cs="Arial"/>
                <w:szCs w:val="20"/>
              </w:rPr>
            </w:pPr>
            <w:r w:rsidRPr="00382A62">
              <w:rPr>
                <w:rFonts w:cs="Arial"/>
                <w:noProof/>
                <w:szCs w:val="20"/>
              </w:rPr>
              <w:drawing>
                <wp:inline distT="0" distB="0" distL="0" distR="0" wp14:anchorId="628A7191" wp14:editId="7433BA2A">
                  <wp:extent cx="2152650" cy="2152650"/>
                  <wp:effectExtent l="0" t="0" r="0" b="0"/>
                  <wp:docPr id="19308875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87502" name=""/>
                          <pic:cNvPicPr/>
                        </pic:nvPicPr>
                        <pic:blipFill>
                          <a:blip r:embed="rId34"/>
                          <a:stretch>
                            <a:fillRect/>
                          </a:stretch>
                        </pic:blipFill>
                        <pic:spPr>
                          <a:xfrm>
                            <a:off x="0" y="0"/>
                            <a:ext cx="2152650" cy="2152650"/>
                          </a:xfrm>
                          <a:prstGeom prst="rect">
                            <a:avLst/>
                          </a:prstGeom>
                        </pic:spPr>
                      </pic:pic>
                    </a:graphicData>
                  </a:graphic>
                </wp:inline>
              </w:drawing>
            </w:r>
          </w:p>
        </w:tc>
      </w:tr>
      <w:tr w:rsidR="007605E6" w:rsidRPr="00382A62" w14:paraId="54E8FF11" w14:textId="77777777" w:rsidTr="007D00B2">
        <w:tc>
          <w:tcPr>
            <w:tcW w:w="5035" w:type="dxa"/>
            <w:tcBorders>
              <w:top w:val="single" w:sz="18" w:space="0" w:color="A6A6A6" w:themeColor="background1" w:themeShade="A6"/>
            </w:tcBorders>
          </w:tcPr>
          <w:p w14:paraId="39B4F25B" w14:textId="77777777" w:rsidR="007605E6" w:rsidRPr="00382A62" w:rsidRDefault="007605E6" w:rsidP="007D00B2">
            <w:pPr>
              <w:jc w:val="right"/>
              <w:rPr>
                <w:rFonts w:cs="Arial"/>
                <w:szCs w:val="20"/>
              </w:rPr>
            </w:pPr>
          </w:p>
          <w:p w14:paraId="6DC262C6" w14:textId="77777777" w:rsidR="007605E6" w:rsidRPr="00382A62" w:rsidRDefault="007605E6" w:rsidP="007D00B2">
            <w:pPr>
              <w:jc w:val="right"/>
              <w:rPr>
                <w:rFonts w:cs="Arial"/>
                <w:szCs w:val="20"/>
              </w:rPr>
            </w:pPr>
            <w:r w:rsidRPr="00382A62">
              <w:rPr>
                <w:rFonts w:cs="Arial"/>
                <w:szCs w:val="20"/>
              </w:rPr>
              <w:t>Nacionalidad: Costarricense</w:t>
            </w:r>
          </w:p>
          <w:p w14:paraId="55543E57" w14:textId="77777777" w:rsidR="007605E6" w:rsidRPr="00382A62" w:rsidRDefault="007605E6" w:rsidP="007D00B2">
            <w:pPr>
              <w:jc w:val="right"/>
              <w:rPr>
                <w:rFonts w:cs="Arial"/>
                <w:szCs w:val="20"/>
              </w:rPr>
            </w:pPr>
            <w:r w:rsidRPr="00382A62">
              <w:rPr>
                <w:rFonts w:cs="Arial"/>
                <w:szCs w:val="20"/>
              </w:rPr>
              <w:t>Año de nacimiento: 1984</w:t>
            </w:r>
          </w:p>
          <w:p w14:paraId="1BE8658D" w14:textId="77777777" w:rsidR="007605E6" w:rsidRPr="00382A62" w:rsidRDefault="007605E6" w:rsidP="007D00B2">
            <w:pPr>
              <w:jc w:val="right"/>
              <w:rPr>
                <w:rFonts w:cs="Arial"/>
                <w:szCs w:val="20"/>
              </w:rPr>
            </w:pPr>
            <w:r w:rsidRPr="00382A62">
              <w:rPr>
                <w:rFonts w:cs="Arial"/>
                <w:szCs w:val="20"/>
              </w:rPr>
              <w:t>Ingreso: 1 de diciembre del 2013</w:t>
            </w:r>
          </w:p>
        </w:tc>
        <w:tc>
          <w:tcPr>
            <w:tcW w:w="5035" w:type="dxa"/>
            <w:vMerge/>
          </w:tcPr>
          <w:p w14:paraId="3D8C92D0" w14:textId="77777777" w:rsidR="007605E6" w:rsidRPr="00382A62" w:rsidRDefault="007605E6" w:rsidP="007D00B2">
            <w:pPr>
              <w:rPr>
                <w:rFonts w:cs="Arial"/>
                <w:szCs w:val="20"/>
              </w:rPr>
            </w:pPr>
          </w:p>
        </w:tc>
      </w:tr>
    </w:tbl>
    <w:p w14:paraId="098E1049" w14:textId="77777777" w:rsidR="007605E6" w:rsidRPr="00382A62" w:rsidRDefault="007605E6" w:rsidP="007605E6">
      <w:pPr>
        <w:rPr>
          <w:rFonts w:cs="Arial"/>
          <w:szCs w:val="20"/>
        </w:rPr>
      </w:pPr>
    </w:p>
    <w:p w14:paraId="2A138395"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17F097A3" w14:textId="77777777" w:rsidTr="007D00B2">
        <w:tc>
          <w:tcPr>
            <w:tcW w:w="5035" w:type="dxa"/>
            <w:vMerge w:val="restart"/>
          </w:tcPr>
          <w:p w14:paraId="49ABB469" w14:textId="1E2CD9BF" w:rsidR="007605E6" w:rsidRPr="00382A62" w:rsidRDefault="00F77FF5" w:rsidP="007D00B2">
            <w:pPr>
              <w:jc w:val="center"/>
              <w:rPr>
                <w:rFonts w:cs="Arial"/>
                <w:szCs w:val="20"/>
              </w:rPr>
            </w:pPr>
            <w:r w:rsidRPr="00382A62">
              <w:rPr>
                <w:rFonts w:cs="Arial"/>
                <w:noProof/>
                <w:szCs w:val="20"/>
              </w:rPr>
              <w:drawing>
                <wp:inline distT="0" distB="0" distL="0" distR="0" wp14:anchorId="39AA332D" wp14:editId="517A276E">
                  <wp:extent cx="2152650" cy="2066925"/>
                  <wp:effectExtent l="0" t="0" r="0" b="9525"/>
                  <wp:docPr id="1702741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41773" name=""/>
                          <pic:cNvPicPr/>
                        </pic:nvPicPr>
                        <pic:blipFill>
                          <a:blip r:embed="rId35"/>
                          <a:stretch>
                            <a:fillRect/>
                          </a:stretch>
                        </pic:blipFill>
                        <pic:spPr>
                          <a:xfrm>
                            <a:off x="0" y="0"/>
                            <a:ext cx="2152650" cy="2066925"/>
                          </a:xfrm>
                          <a:prstGeom prst="rect">
                            <a:avLst/>
                          </a:prstGeom>
                        </pic:spPr>
                      </pic:pic>
                    </a:graphicData>
                  </a:graphic>
                </wp:inline>
              </w:drawing>
            </w:r>
          </w:p>
        </w:tc>
        <w:tc>
          <w:tcPr>
            <w:tcW w:w="5035" w:type="dxa"/>
            <w:tcBorders>
              <w:bottom w:val="single" w:sz="18" w:space="0" w:color="A6A6A6" w:themeColor="background1" w:themeShade="A6"/>
            </w:tcBorders>
          </w:tcPr>
          <w:p w14:paraId="5B34EC58" w14:textId="77777777" w:rsidR="007605E6" w:rsidRPr="00382A62" w:rsidRDefault="007605E6" w:rsidP="007D00B2">
            <w:pPr>
              <w:jc w:val="left"/>
              <w:rPr>
                <w:rFonts w:cs="Arial"/>
                <w:b/>
                <w:bCs/>
                <w:szCs w:val="20"/>
              </w:rPr>
            </w:pPr>
            <w:r w:rsidRPr="00382A62">
              <w:rPr>
                <w:rFonts w:cs="Arial"/>
                <w:b/>
                <w:bCs/>
                <w:szCs w:val="20"/>
              </w:rPr>
              <w:t>Mariel Picado Quevedo</w:t>
            </w:r>
          </w:p>
          <w:p w14:paraId="185BE1C2" w14:textId="77777777" w:rsidR="007605E6" w:rsidRPr="00382A62" w:rsidRDefault="007605E6" w:rsidP="007D00B2">
            <w:pPr>
              <w:jc w:val="left"/>
              <w:rPr>
                <w:rFonts w:cs="Arial"/>
                <w:szCs w:val="20"/>
              </w:rPr>
            </w:pPr>
            <w:r w:rsidRPr="00382A62">
              <w:rPr>
                <w:rFonts w:cs="Arial"/>
                <w:szCs w:val="20"/>
              </w:rPr>
              <w:t>Directora de Servicios Legales</w:t>
            </w:r>
          </w:p>
        </w:tc>
      </w:tr>
      <w:tr w:rsidR="007605E6" w:rsidRPr="00382A62" w14:paraId="17D93CB5" w14:textId="77777777" w:rsidTr="007D00B2">
        <w:tc>
          <w:tcPr>
            <w:tcW w:w="5035" w:type="dxa"/>
            <w:vMerge/>
          </w:tcPr>
          <w:p w14:paraId="03F5F89F"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0E4FAC47" w14:textId="77777777" w:rsidR="007605E6" w:rsidRPr="00382A62" w:rsidRDefault="007605E6" w:rsidP="007D00B2">
            <w:pPr>
              <w:jc w:val="left"/>
              <w:rPr>
                <w:rFonts w:cs="Arial"/>
                <w:szCs w:val="20"/>
              </w:rPr>
            </w:pPr>
          </w:p>
          <w:p w14:paraId="2190E255" w14:textId="77777777" w:rsidR="007605E6" w:rsidRPr="00382A62" w:rsidRDefault="007605E6" w:rsidP="007D00B2">
            <w:pPr>
              <w:jc w:val="left"/>
              <w:rPr>
                <w:rFonts w:cs="Arial"/>
                <w:szCs w:val="20"/>
              </w:rPr>
            </w:pPr>
            <w:r w:rsidRPr="00382A62">
              <w:rPr>
                <w:rFonts w:cs="Arial"/>
                <w:szCs w:val="20"/>
              </w:rPr>
              <w:t>Nacionalidad: Costarricense</w:t>
            </w:r>
          </w:p>
          <w:p w14:paraId="4E4795BE" w14:textId="77777777" w:rsidR="007605E6" w:rsidRPr="00382A62" w:rsidRDefault="007605E6" w:rsidP="007D00B2">
            <w:pPr>
              <w:jc w:val="left"/>
              <w:rPr>
                <w:rFonts w:cs="Arial"/>
                <w:szCs w:val="20"/>
              </w:rPr>
            </w:pPr>
            <w:r w:rsidRPr="00382A62">
              <w:rPr>
                <w:rFonts w:cs="Arial"/>
                <w:szCs w:val="20"/>
              </w:rPr>
              <w:t>Año de nacimiento: 1973</w:t>
            </w:r>
          </w:p>
          <w:p w14:paraId="2B488313" w14:textId="77777777" w:rsidR="007605E6" w:rsidRPr="00382A62" w:rsidRDefault="007605E6" w:rsidP="007D00B2">
            <w:pPr>
              <w:jc w:val="left"/>
              <w:rPr>
                <w:rFonts w:cs="Arial"/>
                <w:szCs w:val="20"/>
              </w:rPr>
            </w:pPr>
            <w:r w:rsidRPr="00382A62">
              <w:rPr>
                <w:rFonts w:cs="Arial"/>
                <w:szCs w:val="20"/>
              </w:rPr>
              <w:t>Ingreso: 15 de Junio 2005</w:t>
            </w:r>
          </w:p>
        </w:tc>
      </w:tr>
    </w:tbl>
    <w:p w14:paraId="09612CD1" w14:textId="77777777" w:rsidR="00B60170" w:rsidRPr="00382A62" w:rsidRDefault="00B60170" w:rsidP="007605E6">
      <w:pPr>
        <w:rPr>
          <w:rFonts w:cs="Arial"/>
          <w:szCs w:val="20"/>
        </w:rPr>
      </w:pPr>
    </w:p>
    <w:p w14:paraId="40A45FA6" w14:textId="77777777" w:rsidR="00684071" w:rsidRPr="00382A62" w:rsidRDefault="00684071"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2697FF75" w14:textId="77777777" w:rsidTr="007D00B2">
        <w:tc>
          <w:tcPr>
            <w:tcW w:w="5035" w:type="dxa"/>
            <w:tcBorders>
              <w:bottom w:val="single" w:sz="18" w:space="0" w:color="A6A6A6" w:themeColor="background1" w:themeShade="A6"/>
            </w:tcBorders>
          </w:tcPr>
          <w:p w14:paraId="6AD2929C" w14:textId="77777777" w:rsidR="007605E6" w:rsidRPr="00382A62" w:rsidRDefault="007605E6" w:rsidP="007D00B2">
            <w:pPr>
              <w:jc w:val="right"/>
              <w:rPr>
                <w:rFonts w:cs="Arial"/>
                <w:b/>
                <w:bCs/>
                <w:szCs w:val="20"/>
              </w:rPr>
            </w:pPr>
            <w:r w:rsidRPr="00382A62">
              <w:rPr>
                <w:rFonts w:cs="Arial"/>
                <w:b/>
                <w:bCs/>
                <w:szCs w:val="20"/>
              </w:rPr>
              <w:t>Fabián Fernández Faith</w:t>
            </w:r>
          </w:p>
          <w:p w14:paraId="2B4F482F" w14:textId="77777777" w:rsidR="007605E6" w:rsidRPr="00382A62" w:rsidRDefault="007605E6" w:rsidP="007D00B2">
            <w:pPr>
              <w:jc w:val="right"/>
              <w:rPr>
                <w:rFonts w:cs="Arial"/>
                <w:szCs w:val="20"/>
              </w:rPr>
            </w:pPr>
            <w:r w:rsidRPr="00382A62">
              <w:rPr>
                <w:rFonts w:cs="Arial"/>
                <w:szCs w:val="20"/>
              </w:rPr>
              <w:t>Gerente de Hospitalidad</w:t>
            </w:r>
          </w:p>
        </w:tc>
        <w:tc>
          <w:tcPr>
            <w:tcW w:w="5035" w:type="dxa"/>
            <w:vMerge w:val="restart"/>
          </w:tcPr>
          <w:p w14:paraId="1B910C77" w14:textId="30F8DD11" w:rsidR="007605E6" w:rsidRPr="00382A62" w:rsidRDefault="00F77FF5" w:rsidP="007D00B2">
            <w:pPr>
              <w:jc w:val="center"/>
              <w:rPr>
                <w:rFonts w:cs="Arial"/>
                <w:szCs w:val="20"/>
              </w:rPr>
            </w:pPr>
            <w:r w:rsidRPr="00382A62">
              <w:rPr>
                <w:rFonts w:cs="Arial"/>
                <w:noProof/>
                <w:szCs w:val="20"/>
              </w:rPr>
              <w:drawing>
                <wp:inline distT="0" distB="0" distL="0" distR="0" wp14:anchorId="5645A3C6" wp14:editId="0863BD18">
                  <wp:extent cx="1904312" cy="1921783"/>
                  <wp:effectExtent l="0" t="0" r="1270" b="2540"/>
                  <wp:docPr id="61780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0407" name=""/>
                          <pic:cNvPicPr/>
                        </pic:nvPicPr>
                        <pic:blipFill>
                          <a:blip r:embed="rId36"/>
                          <a:stretch>
                            <a:fillRect/>
                          </a:stretch>
                        </pic:blipFill>
                        <pic:spPr>
                          <a:xfrm>
                            <a:off x="0" y="0"/>
                            <a:ext cx="1908359" cy="1925867"/>
                          </a:xfrm>
                          <a:prstGeom prst="rect">
                            <a:avLst/>
                          </a:prstGeom>
                        </pic:spPr>
                      </pic:pic>
                    </a:graphicData>
                  </a:graphic>
                </wp:inline>
              </w:drawing>
            </w:r>
          </w:p>
        </w:tc>
      </w:tr>
      <w:tr w:rsidR="007605E6" w:rsidRPr="00382A62" w14:paraId="0C746511" w14:textId="77777777" w:rsidTr="007D00B2">
        <w:tc>
          <w:tcPr>
            <w:tcW w:w="5035" w:type="dxa"/>
            <w:tcBorders>
              <w:top w:val="single" w:sz="18" w:space="0" w:color="A6A6A6" w:themeColor="background1" w:themeShade="A6"/>
            </w:tcBorders>
          </w:tcPr>
          <w:p w14:paraId="302FF742" w14:textId="77777777" w:rsidR="007605E6" w:rsidRPr="00382A62" w:rsidRDefault="007605E6" w:rsidP="007D00B2">
            <w:pPr>
              <w:jc w:val="right"/>
              <w:rPr>
                <w:rFonts w:cs="Arial"/>
                <w:szCs w:val="20"/>
              </w:rPr>
            </w:pPr>
          </w:p>
          <w:p w14:paraId="3B2D6AF4" w14:textId="3FB32CD7" w:rsidR="007605E6" w:rsidRPr="00382A62" w:rsidRDefault="007605E6" w:rsidP="007D00B2">
            <w:pPr>
              <w:jc w:val="right"/>
              <w:rPr>
                <w:rFonts w:cs="Arial"/>
                <w:szCs w:val="20"/>
              </w:rPr>
            </w:pPr>
            <w:r w:rsidRPr="00382A62">
              <w:rPr>
                <w:rFonts w:cs="Arial"/>
                <w:szCs w:val="20"/>
              </w:rPr>
              <w:t xml:space="preserve">Nacionalidad: </w:t>
            </w:r>
            <w:r w:rsidR="00FD5521" w:rsidRPr="00382A62">
              <w:rPr>
                <w:rFonts w:cs="Arial"/>
                <w:szCs w:val="20"/>
              </w:rPr>
              <w:t>Costarricense</w:t>
            </w:r>
          </w:p>
          <w:p w14:paraId="586CF386" w14:textId="77777777" w:rsidR="007605E6" w:rsidRPr="00382A62" w:rsidRDefault="007605E6" w:rsidP="007D00B2">
            <w:pPr>
              <w:jc w:val="right"/>
              <w:rPr>
                <w:rFonts w:cs="Arial"/>
                <w:szCs w:val="20"/>
              </w:rPr>
            </w:pPr>
            <w:r w:rsidRPr="00382A62">
              <w:rPr>
                <w:rFonts w:cs="Arial"/>
                <w:szCs w:val="20"/>
              </w:rPr>
              <w:t>Año de nacimiento: 1978</w:t>
            </w:r>
          </w:p>
          <w:p w14:paraId="66C73032" w14:textId="77777777" w:rsidR="007605E6" w:rsidRPr="00382A62" w:rsidRDefault="007605E6" w:rsidP="007D00B2">
            <w:pPr>
              <w:jc w:val="right"/>
              <w:rPr>
                <w:rFonts w:cs="Arial"/>
                <w:szCs w:val="20"/>
              </w:rPr>
            </w:pPr>
            <w:r w:rsidRPr="00382A62">
              <w:rPr>
                <w:rFonts w:cs="Arial"/>
                <w:szCs w:val="20"/>
              </w:rPr>
              <w:t>Ingreso: 10 de agosto 2009</w:t>
            </w:r>
          </w:p>
        </w:tc>
        <w:tc>
          <w:tcPr>
            <w:tcW w:w="5035" w:type="dxa"/>
            <w:vMerge/>
          </w:tcPr>
          <w:p w14:paraId="0290EA2D" w14:textId="77777777" w:rsidR="007605E6" w:rsidRPr="00382A62" w:rsidRDefault="007605E6" w:rsidP="007D00B2">
            <w:pPr>
              <w:rPr>
                <w:rFonts w:cs="Arial"/>
                <w:szCs w:val="20"/>
              </w:rPr>
            </w:pPr>
          </w:p>
        </w:tc>
      </w:tr>
    </w:tbl>
    <w:p w14:paraId="6855F0CD" w14:textId="77777777" w:rsidR="007605E6" w:rsidRPr="00382A62" w:rsidRDefault="007605E6" w:rsidP="007605E6">
      <w:pPr>
        <w:rPr>
          <w:rFonts w:cs="Arial"/>
          <w:szCs w:val="20"/>
        </w:rPr>
      </w:pPr>
    </w:p>
    <w:p w14:paraId="4403DF13" w14:textId="65DF0A78"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3BC676B5" w14:textId="77777777" w:rsidTr="007D00B2">
        <w:tc>
          <w:tcPr>
            <w:tcW w:w="5035" w:type="dxa"/>
            <w:vMerge w:val="restart"/>
          </w:tcPr>
          <w:p w14:paraId="6391BB0F" w14:textId="32CEC413" w:rsidR="007605E6" w:rsidRPr="00382A62" w:rsidRDefault="00F173C6" w:rsidP="007D00B2">
            <w:pPr>
              <w:jc w:val="center"/>
              <w:rPr>
                <w:rFonts w:cs="Arial"/>
                <w:szCs w:val="20"/>
              </w:rPr>
            </w:pPr>
            <w:r w:rsidRPr="00382A62">
              <w:rPr>
                <w:rFonts w:cs="Arial"/>
                <w:noProof/>
                <w:szCs w:val="20"/>
              </w:rPr>
              <w:lastRenderedPageBreak/>
              <w:drawing>
                <wp:inline distT="0" distB="0" distL="0" distR="0" wp14:anchorId="4144D19D" wp14:editId="3ED55E02">
                  <wp:extent cx="2027104" cy="1879005"/>
                  <wp:effectExtent l="0" t="0" r="0" b="6985"/>
                  <wp:docPr id="12726955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95510" name=""/>
                          <pic:cNvPicPr/>
                        </pic:nvPicPr>
                        <pic:blipFill>
                          <a:blip r:embed="rId37"/>
                          <a:stretch>
                            <a:fillRect/>
                          </a:stretch>
                        </pic:blipFill>
                        <pic:spPr>
                          <a:xfrm>
                            <a:off x="0" y="0"/>
                            <a:ext cx="2028345" cy="1880155"/>
                          </a:xfrm>
                          <a:prstGeom prst="rect">
                            <a:avLst/>
                          </a:prstGeom>
                        </pic:spPr>
                      </pic:pic>
                    </a:graphicData>
                  </a:graphic>
                </wp:inline>
              </w:drawing>
            </w:r>
          </w:p>
        </w:tc>
        <w:tc>
          <w:tcPr>
            <w:tcW w:w="5035" w:type="dxa"/>
            <w:tcBorders>
              <w:bottom w:val="single" w:sz="18" w:space="0" w:color="A6A6A6" w:themeColor="background1" w:themeShade="A6"/>
            </w:tcBorders>
          </w:tcPr>
          <w:p w14:paraId="68C22283" w14:textId="77777777" w:rsidR="007605E6" w:rsidRPr="00382A62" w:rsidRDefault="007605E6" w:rsidP="007D00B2">
            <w:pPr>
              <w:rPr>
                <w:rFonts w:cs="Arial"/>
                <w:b/>
                <w:bCs/>
                <w:szCs w:val="20"/>
              </w:rPr>
            </w:pPr>
            <w:r w:rsidRPr="00382A62">
              <w:rPr>
                <w:rFonts w:cs="Arial"/>
                <w:b/>
                <w:bCs/>
                <w:szCs w:val="20"/>
              </w:rPr>
              <w:t>Fabrizio Papaianni Martínez</w:t>
            </w:r>
          </w:p>
          <w:p w14:paraId="7AB2E34A" w14:textId="77777777" w:rsidR="007605E6" w:rsidRPr="00382A62" w:rsidRDefault="007605E6" w:rsidP="007D00B2">
            <w:pPr>
              <w:jc w:val="left"/>
              <w:rPr>
                <w:rFonts w:cs="Arial"/>
                <w:szCs w:val="20"/>
              </w:rPr>
            </w:pPr>
            <w:r w:rsidRPr="00382A62">
              <w:rPr>
                <w:rFonts w:cs="Arial"/>
                <w:szCs w:val="20"/>
              </w:rPr>
              <w:t>Director de Auditoría y Cumplimiento</w:t>
            </w:r>
          </w:p>
        </w:tc>
      </w:tr>
      <w:tr w:rsidR="007605E6" w:rsidRPr="00382A62" w14:paraId="7632DB1B" w14:textId="77777777" w:rsidTr="007D00B2">
        <w:tc>
          <w:tcPr>
            <w:tcW w:w="5035" w:type="dxa"/>
            <w:vMerge/>
          </w:tcPr>
          <w:p w14:paraId="47C4DC17"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663C2C21" w14:textId="77777777" w:rsidR="007605E6" w:rsidRPr="00382A62" w:rsidRDefault="007605E6" w:rsidP="007D00B2">
            <w:pPr>
              <w:jc w:val="left"/>
              <w:rPr>
                <w:rFonts w:cs="Arial"/>
                <w:szCs w:val="20"/>
              </w:rPr>
            </w:pPr>
          </w:p>
          <w:p w14:paraId="2D75DCA9" w14:textId="77777777" w:rsidR="007605E6" w:rsidRPr="00382A62" w:rsidRDefault="007605E6" w:rsidP="007D00B2">
            <w:pPr>
              <w:rPr>
                <w:rFonts w:cs="Arial"/>
                <w:szCs w:val="20"/>
              </w:rPr>
            </w:pPr>
            <w:r w:rsidRPr="00382A62">
              <w:rPr>
                <w:rFonts w:cs="Arial"/>
                <w:szCs w:val="20"/>
              </w:rPr>
              <w:t>Nacionalidad: Colombiano</w:t>
            </w:r>
          </w:p>
          <w:p w14:paraId="1D9EFDBD" w14:textId="77777777" w:rsidR="007605E6" w:rsidRPr="00382A62" w:rsidRDefault="007605E6" w:rsidP="007D00B2">
            <w:pPr>
              <w:rPr>
                <w:rFonts w:cs="Arial"/>
                <w:szCs w:val="20"/>
              </w:rPr>
            </w:pPr>
            <w:r w:rsidRPr="00382A62">
              <w:rPr>
                <w:rFonts w:cs="Arial"/>
                <w:szCs w:val="20"/>
              </w:rPr>
              <w:t>Año de nacimiento: 1969</w:t>
            </w:r>
          </w:p>
          <w:p w14:paraId="7778F3EE" w14:textId="77777777" w:rsidR="007605E6" w:rsidRPr="00382A62" w:rsidRDefault="007605E6" w:rsidP="007D00B2">
            <w:pPr>
              <w:jc w:val="left"/>
              <w:rPr>
                <w:rFonts w:cs="Arial"/>
                <w:szCs w:val="20"/>
              </w:rPr>
            </w:pPr>
            <w:r w:rsidRPr="00382A62">
              <w:rPr>
                <w:rFonts w:cs="Arial"/>
                <w:szCs w:val="20"/>
              </w:rPr>
              <w:t>Ingreso: 10 de enero 2011</w:t>
            </w:r>
          </w:p>
        </w:tc>
      </w:tr>
    </w:tbl>
    <w:p w14:paraId="180C9F82" w14:textId="77777777" w:rsidR="007605E6" w:rsidRPr="00382A62" w:rsidRDefault="007605E6" w:rsidP="007605E6">
      <w:pPr>
        <w:rPr>
          <w:rFonts w:cs="Arial"/>
          <w:szCs w:val="20"/>
        </w:rPr>
      </w:pPr>
    </w:p>
    <w:p w14:paraId="37500C14" w14:textId="77777777" w:rsidR="007605E6" w:rsidRPr="00382A62" w:rsidRDefault="007605E6" w:rsidP="007605E6">
      <w:pPr>
        <w:pStyle w:val="Ttulo3"/>
        <w:numPr>
          <w:ilvl w:val="1"/>
          <w:numId w:val="12"/>
        </w:numPr>
        <w:rPr>
          <w:rFonts w:cs="Arial"/>
          <w:sz w:val="20"/>
          <w:szCs w:val="20"/>
        </w:rPr>
      </w:pPr>
      <w:bookmarkStart w:id="266" w:name="_Toc131092925"/>
      <w:bookmarkStart w:id="267" w:name="_Toc131501126"/>
      <w:bookmarkStart w:id="268" w:name="_Toc169624685"/>
      <w:r w:rsidRPr="00382A62">
        <w:rPr>
          <w:rFonts w:cs="Arial"/>
          <w:sz w:val="20"/>
          <w:szCs w:val="20"/>
        </w:rPr>
        <w:t>Representación Judicial y Extrajudicial</w:t>
      </w:r>
      <w:bookmarkEnd w:id="266"/>
      <w:bookmarkEnd w:id="267"/>
      <w:bookmarkEnd w:id="268"/>
    </w:p>
    <w:p w14:paraId="14EC2A8B" w14:textId="77777777" w:rsidR="007605E6" w:rsidRPr="00382A62" w:rsidRDefault="007605E6" w:rsidP="007605E6">
      <w:pPr>
        <w:rPr>
          <w:rFonts w:cs="Arial"/>
          <w:szCs w:val="20"/>
        </w:rPr>
      </w:pPr>
      <w:r w:rsidRPr="00382A62">
        <w:rPr>
          <w:rFonts w:cs="Arial"/>
          <w:szCs w:val="20"/>
        </w:rPr>
        <w:t xml:space="preserve">La representación judicial y extrajudicial de la Compañía con facultades de Apoderado Generalísimo sin límite de suma, corresponde al Presidente, Vicepresidente, Director General y al Director de Finanzas y Servicios Corporativos. </w:t>
      </w:r>
    </w:p>
    <w:p w14:paraId="4328D0B7" w14:textId="20AEFB91" w:rsidR="007605E6" w:rsidRPr="00382A62" w:rsidRDefault="007605E6" w:rsidP="007605E6">
      <w:pPr>
        <w:rPr>
          <w:rFonts w:cs="Arial"/>
          <w:szCs w:val="20"/>
        </w:rPr>
      </w:pPr>
      <w:r w:rsidRPr="00320075">
        <w:rPr>
          <w:rFonts w:cs="Arial"/>
          <w:szCs w:val="20"/>
        </w:rPr>
        <w:t xml:space="preserve">Adicionalmente, tienen poder para comunicar Hechos Relevantes a la Superintendencia General de Valores el señor Carlos Manuel Rojas Koberg, quien ocupa actualmente el cargo de </w:t>
      </w:r>
      <w:r w:rsidR="004C40D5" w:rsidRPr="00320075">
        <w:rPr>
          <w:rFonts w:cs="Arial"/>
          <w:szCs w:val="20"/>
        </w:rPr>
        <w:t>Director</w:t>
      </w:r>
      <w:r w:rsidRPr="00320075">
        <w:rPr>
          <w:rFonts w:cs="Arial"/>
          <w:szCs w:val="20"/>
        </w:rPr>
        <w:t xml:space="preserve"> de Finanzas y Servicios Corporativos y la señora Maureen Phillips Murillo, Gerente Corporativo de Tesorería e Impuestos</w:t>
      </w:r>
      <w:r w:rsidRPr="00382A62">
        <w:rPr>
          <w:rFonts w:cs="Arial"/>
          <w:szCs w:val="20"/>
        </w:rPr>
        <w:t>.</w:t>
      </w:r>
    </w:p>
    <w:p w14:paraId="0FDBDB7E" w14:textId="77777777" w:rsidR="007605E6" w:rsidRPr="00382A62" w:rsidRDefault="007605E6" w:rsidP="007605E6">
      <w:pPr>
        <w:pStyle w:val="Ttulo2"/>
        <w:numPr>
          <w:ilvl w:val="0"/>
          <w:numId w:val="12"/>
        </w:numPr>
        <w:rPr>
          <w:rFonts w:cs="Arial"/>
          <w:sz w:val="20"/>
          <w:szCs w:val="20"/>
        </w:rPr>
      </w:pPr>
      <w:bookmarkStart w:id="269" w:name="_Toc131092926"/>
      <w:bookmarkStart w:id="270" w:name="_Toc131501127"/>
      <w:bookmarkStart w:id="271" w:name="_Toc169624686"/>
      <w:r w:rsidRPr="00382A62">
        <w:rPr>
          <w:rFonts w:cs="Arial"/>
          <w:sz w:val="20"/>
          <w:szCs w:val="20"/>
        </w:rPr>
        <w:t>Políticas generales de compensación de los directores y personal gerencial</w:t>
      </w:r>
      <w:bookmarkEnd w:id="269"/>
      <w:bookmarkEnd w:id="270"/>
      <w:bookmarkEnd w:id="271"/>
    </w:p>
    <w:p w14:paraId="0080308B" w14:textId="77777777" w:rsidR="007605E6" w:rsidRPr="00382A62" w:rsidRDefault="007605E6" w:rsidP="007605E6">
      <w:pPr>
        <w:rPr>
          <w:rFonts w:cs="Arial"/>
          <w:szCs w:val="20"/>
        </w:rPr>
      </w:pPr>
      <w:r w:rsidRPr="00382A62">
        <w:rPr>
          <w:rFonts w:cs="Arial"/>
          <w:szCs w:val="20"/>
        </w:rPr>
        <w:t xml:space="preserve">Las políticas de compensación se han establecido conforme a los diferentes niveles de la estructura organizacional. A nivel de Junta Directiva se tiene establecido un sistema de dietas únicamente. En lo que corresponde al nivel Gerencial (directores de unidades estratégicas de negocios) y gerentes, el plan general de remuneración establece un esquema compuesto principalmente de salario base, seguro médico y de vida y gratificación anual por el logro de objetivos, en efectivo y en acciones. </w:t>
      </w:r>
    </w:p>
    <w:p w14:paraId="50D2E7B6" w14:textId="77777777" w:rsidR="007605E6" w:rsidRPr="00382A62" w:rsidRDefault="007605E6" w:rsidP="007605E6">
      <w:pPr>
        <w:rPr>
          <w:rFonts w:cs="Arial"/>
          <w:szCs w:val="20"/>
        </w:rPr>
      </w:pPr>
      <w:r w:rsidRPr="00382A62">
        <w:rPr>
          <w:rFonts w:cs="Arial"/>
          <w:szCs w:val="20"/>
        </w:rPr>
        <w:t xml:space="preserve">En acuerdo de la Asamblea General de Accionistas del mes de marzo de 1998, se aprobó la iniciativa de otorgar un beneficio patrimonial a través de acciones de la Compañía a ciertos ejecutivos, de acuerdo con criterios establecidos por la Junta Directiva.  </w:t>
      </w:r>
    </w:p>
    <w:p w14:paraId="46101932" w14:textId="77777777" w:rsidR="007605E6" w:rsidRPr="00382A62" w:rsidRDefault="007605E6" w:rsidP="007605E6">
      <w:pPr>
        <w:rPr>
          <w:rFonts w:cs="Arial"/>
          <w:szCs w:val="20"/>
        </w:rPr>
      </w:pPr>
      <w:r w:rsidRPr="00382A62">
        <w:rPr>
          <w:rFonts w:cs="Arial"/>
          <w:szCs w:val="20"/>
        </w:rPr>
        <w:t>Las acciones que se utilizan en el plan de compensación por logros obtenidos se compran en el mercado secundario. Este esquema funciona como un plan de retención debido a que las acciones se asignan a los beneficiarios en un plazo de 4 años (la asignación se realiza en acciones y no como opción de compra). Un mayor detalle de este plan de compensación se incluye en la nota 24 de los Estados Financieros Auditados.</w:t>
      </w:r>
    </w:p>
    <w:p w14:paraId="72A35D91" w14:textId="77777777" w:rsidR="007605E6" w:rsidRPr="00382A62" w:rsidRDefault="007605E6" w:rsidP="007605E6">
      <w:pPr>
        <w:rPr>
          <w:rFonts w:cs="Arial"/>
          <w:szCs w:val="20"/>
        </w:rPr>
      </w:pPr>
      <w:r w:rsidRPr="00382A62">
        <w:rPr>
          <w:rFonts w:cs="Arial"/>
          <w:szCs w:val="20"/>
        </w:rPr>
        <w:t>Los paquetes de compensación ejecutiva pagados durante los últimos dos años se muestran a continuación:</w:t>
      </w:r>
    </w:p>
    <w:p w14:paraId="2D533055" w14:textId="77777777" w:rsidR="006A75D0" w:rsidRPr="00382A62" w:rsidRDefault="006A75D0" w:rsidP="007605E6">
      <w:pPr>
        <w:rPr>
          <w:rFonts w:cs="Arial"/>
          <w:szCs w:val="20"/>
        </w:rPr>
      </w:pPr>
    </w:p>
    <w:p w14:paraId="7FBEEA4F" w14:textId="77777777" w:rsidR="006A75D0" w:rsidRPr="00382A62" w:rsidRDefault="006A75D0" w:rsidP="007605E6">
      <w:pPr>
        <w:rPr>
          <w:rFonts w:cs="Arial"/>
          <w:szCs w:val="20"/>
        </w:rPr>
      </w:pPr>
    </w:p>
    <w:p w14:paraId="00496BAE" w14:textId="369E89A6" w:rsidR="007605E6" w:rsidRPr="00382A62" w:rsidRDefault="007605E6" w:rsidP="007605E6">
      <w:pPr>
        <w:pStyle w:val="Descripcin"/>
        <w:rPr>
          <w:rFonts w:cs="Arial"/>
          <w:szCs w:val="20"/>
        </w:rPr>
      </w:pPr>
      <w:r w:rsidRPr="00382A62">
        <w:rPr>
          <w:rFonts w:cs="Arial"/>
          <w:szCs w:val="20"/>
        </w:rPr>
        <w:lastRenderedPageBreak/>
        <w:t xml:space="preserve">Tabla </w:t>
      </w:r>
      <w:r w:rsidR="00834FD6">
        <w:rPr>
          <w:rFonts w:cs="Arial"/>
          <w:szCs w:val="20"/>
        </w:rPr>
        <w:t>49</w:t>
      </w:r>
      <w:r w:rsidRPr="00382A62">
        <w:rPr>
          <w:rFonts w:cs="Arial"/>
          <w:szCs w:val="20"/>
        </w:rPr>
        <w:t xml:space="preserve"> - Paquete compensación ejecutiva</w:t>
      </w:r>
    </w:p>
    <w:tbl>
      <w:tblPr>
        <w:tblW w:w="64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720"/>
        <w:gridCol w:w="1380"/>
        <w:gridCol w:w="1380"/>
      </w:tblGrid>
      <w:tr w:rsidR="007605E6" w:rsidRPr="00382A62" w14:paraId="5BCE73E3" w14:textId="77777777" w:rsidTr="007D00B2">
        <w:trPr>
          <w:trHeight w:val="300"/>
          <w:jc w:val="center"/>
        </w:trPr>
        <w:tc>
          <w:tcPr>
            <w:tcW w:w="3720" w:type="dxa"/>
            <w:vMerge w:val="restart"/>
            <w:shd w:val="clear" w:color="auto" w:fill="F2F2F2" w:themeFill="background1" w:themeFillShade="F2"/>
            <w:noWrap/>
            <w:vAlign w:val="center"/>
            <w:hideMark/>
          </w:tcPr>
          <w:p w14:paraId="1BB4AA2F"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Rubro</w:t>
            </w:r>
          </w:p>
        </w:tc>
        <w:tc>
          <w:tcPr>
            <w:tcW w:w="2760" w:type="dxa"/>
            <w:gridSpan w:val="2"/>
            <w:shd w:val="clear" w:color="auto" w:fill="F2F2F2" w:themeFill="background1" w:themeFillShade="F2"/>
            <w:noWrap/>
            <w:vAlign w:val="center"/>
            <w:hideMark/>
          </w:tcPr>
          <w:p w14:paraId="7CF19AD9"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En millones de colones</w:t>
            </w:r>
          </w:p>
        </w:tc>
      </w:tr>
      <w:tr w:rsidR="00404080" w:rsidRPr="00382A62" w14:paraId="505116C0" w14:textId="77777777" w:rsidTr="007D00B2">
        <w:trPr>
          <w:trHeight w:val="300"/>
          <w:jc w:val="center"/>
        </w:trPr>
        <w:tc>
          <w:tcPr>
            <w:tcW w:w="3720" w:type="dxa"/>
            <w:vMerge/>
            <w:vAlign w:val="center"/>
            <w:hideMark/>
          </w:tcPr>
          <w:p w14:paraId="1A40AB73" w14:textId="77777777" w:rsidR="00404080" w:rsidRPr="00382A62" w:rsidRDefault="00404080" w:rsidP="00404080">
            <w:pPr>
              <w:spacing w:line="276" w:lineRule="auto"/>
              <w:contextualSpacing/>
              <w:jc w:val="center"/>
              <w:rPr>
                <w:rFonts w:cs="Arial"/>
                <w:b/>
                <w:bCs/>
                <w:szCs w:val="20"/>
              </w:rPr>
            </w:pPr>
          </w:p>
        </w:tc>
        <w:tc>
          <w:tcPr>
            <w:tcW w:w="1380" w:type="dxa"/>
            <w:shd w:val="clear" w:color="auto" w:fill="F2F2F2" w:themeFill="background1" w:themeFillShade="F2"/>
            <w:noWrap/>
            <w:vAlign w:val="center"/>
            <w:hideMark/>
          </w:tcPr>
          <w:p w14:paraId="3DFE2867" w14:textId="29BD1D0B" w:rsidR="00404080" w:rsidRPr="00382A62" w:rsidRDefault="00404080" w:rsidP="00404080">
            <w:pPr>
              <w:spacing w:line="276" w:lineRule="auto"/>
              <w:contextualSpacing/>
              <w:jc w:val="center"/>
              <w:rPr>
                <w:rFonts w:cs="Arial"/>
                <w:b/>
                <w:bCs/>
                <w:szCs w:val="20"/>
              </w:rPr>
            </w:pPr>
            <w:r w:rsidRPr="00382A62">
              <w:rPr>
                <w:rFonts w:cs="Arial"/>
                <w:b/>
                <w:bCs/>
                <w:szCs w:val="20"/>
              </w:rPr>
              <w:t>2022</w:t>
            </w:r>
          </w:p>
        </w:tc>
        <w:tc>
          <w:tcPr>
            <w:tcW w:w="1380" w:type="dxa"/>
            <w:shd w:val="clear" w:color="auto" w:fill="F2F2F2" w:themeFill="background1" w:themeFillShade="F2"/>
            <w:noWrap/>
            <w:vAlign w:val="center"/>
            <w:hideMark/>
          </w:tcPr>
          <w:p w14:paraId="5A60D826" w14:textId="78CBA0D6" w:rsidR="00404080" w:rsidRPr="00382A62" w:rsidRDefault="00404080" w:rsidP="00404080">
            <w:pPr>
              <w:spacing w:line="276" w:lineRule="auto"/>
              <w:contextualSpacing/>
              <w:jc w:val="center"/>
              <w:rPr>
                <w:rFonts w:cs="Arial"/>
                <w:b/>
                <w:bCs/>
                <w:szCs w:val="20"/>
              </w:rPr>
            </w:pPr>
            <w:r w:rsidRPr="00382A62">
              <w:rPr>
                <w:rFonts w:cs="Arial"/>
                <w:b/>
                <w:bCs/>
                <w:szCs w:val="20"/>
              </w:rPr>
              <w:t>2023</w:t>
            </w:r>
          </w:p>
        </w:tc>
      </w:tr>
      <w:tr w:rsidR="00404080" w:rsidRPr="00382A62" w14:paraId="24463293" w14:textId="77777777" w:rsidTr="007D00B2">
        <w:trPr>
          <w:trHeight w:val="285"/>
          <w:jc w:val="center"/>
        </w:trPr>
        <w:tc>
          <w:tcPr>
            <w:tcW w:w="3720" w:type="dxa"/>
            <w:shd w:val="clear" w:color="auto" w:fill="auto"/>
            <w:noWrap/>
            <w:vAlign w:val="center"/>
            <w:hideMark/>
          </w:tcPr>
          <w:p w14:paraId="51E2A1A2" w14:textId="77777777" w:rsidR="00404080" w:rsidRPr="00382A62" w:rsidRDefault="00404080" w:rsidP="00404080">
            <w:pPr>
              <w:spacing w:line="276" w:lineRule="auto"/>
              <w:contextualSpacing/>
              <w:jc w:val="left"/>
              <w:rPr>
                <w:rFonts w:cs="Arial"/>
                <w:szCs w:val="20"/>
              </w:rPr>
            </w:pPr>
            <w:r w:rsidRPr="00382A62">
              <w:rPr>
                <w:rFonts w:cs="Arial"/>
                <w:szCs w:val="20"/>
              </w:rPr>
              <w:t>Salario base</w:t>
            </w:r>
          </w:p>
        </w:tc>
        <w:tc>
          <w:tcPr>
            <w:tcW w:w="1380" w:type="dxa"/>
            <w:shd w:val="clear" w:color="auto" w:fill="auto"/>
            <w:noWrap/>
            <w:vAlign w:val="center"/>
          </w:tcPr>
          <w:p w14:paraId="7E5FB48A" w14:textId="6F21BA9C" w:rsidR="00404080" w:rsidRPr="00382A62" w:rsidRDefault="00404080" w:rsidP="00404080">
            <w:pPr>
              <w:spacing w:line="276" w:lineRule="auto"/>
              <w:contextualSpacing/>
              <w:jc w:val="center"/>
              <w:rPr>
                <w:rFonts w:cs="Arial"/>
                <w:szCs w:val="20"/>
              </w:rPr>
            </w:pPr>
            <w:r w:rsidRPr="00382A62">
              <w:rPr>
                <w:rFonts w:cs="Arial"/>
                <w:szCs w:val="20"/>
              </w:rPr>
              <w:t>17.003</w:t>
            </w:r>
          </w:p>
        </w:tc>
        <w:tc>
          <w:tcPr>
            <w:tcW w:w="1380" w:type="dxa"/>
            <w:shd w:val="clear" w:color="auto" w:fill="auto"/>
            <w:noWrap/>
            <w:vAlign w:val="center"/>
          </w:tcPr>
          <w:p w14:paraId="389E1987" w14:textId="5BD1A0BF" w:rsidR="00404080" w:rsidRPr="00382A62" w:rsidRDefault="009557A0" w:rsidP="00404080">
            <w:pPr>
              <w:spacing w:line="276" w:lineRule="auto"/>
              <w:contextualSpacing/>
              <w:jc w:val="center"/>
              <w:rPr>
                <w:rFonts w:cs="Arial"/>
                <w:szCs w:val="20"/>
              </w:rPr>
            </w:pPr>
            <w:r w:rsidRPr="00382A62">
              <w:rPr>
                <w:rFonts w:cs="Arial"/>
                <w:szCs w:val="20"/>
              </w:rPr>
              <w:t>16.804</w:t>
            </w:r>
          </w:p>
        </w:tc>
      </w:tr>
      <w:tr w:rsidR="00404080" w:rsidRPr="00382A62" w14:paraId="56980502" w14:textId="77777777" w:rsidTr="007D00B2">
        <w:trPr>
          <w:trHeight w:val="285"/>
          <w:jc w:val="center"/>
        </w:trPr>
        <w:tc>
          <w:tcPr>
            <w:tcW w:w="3720" w:type="dxa"/>
            <w:shd w:val="clear" w:color="auto" w:fill="auto"/>
            <w:noWrap/>
            <w:vAlign w:val="center"/>
            <w:hideMark/>
          </w:tcPr>
          <w:p w14:paraId="340F05C6" w14:textId="77777777" w:rsidR="00404080" w:rsidRPr="00382A62" w:rsidRDefault="00404080" w:rsidP="00404080">
            <w:pPr>
              <w:spacing w:line="276" w:lineRule="auto"/>
              <w:contextualSpacing/>
              <w:jc w:val="left"/>
              <w:rPr>
                <w:rFonts w:cs="Arial"/>
                <w:szCs w:val="20"/>
              </w:rPr>
            </w:pPr>
            <w:r w:rsidRPr="00382A62">
              <w:rPr>
                <w:rFonts w:cs="Arial"/>
                <w:szCs w:val="20"/>
              </w:rPr>
              <w:t>Bonificación ejecutiva</w:t>
            </w:r>
          </w:p>
        </w:tc>
        <w:tc>
          <w:tcPr>
            <w:tcW w:w="1380" w:type="dxa"/>
            <w:shd w:val="clear" w:color="auto" w:fill="auto"/>
            <w:noWrap/>
            <w:vAlign w:val="center"/>
          </w:tcPr>
          <w:p w14:paraId="3F5D44A3" w14:textId="381D9E32" w:rsidR="00404080" w:rsidRPr="00382A62" w:rsidRDefault="00404080" w:rsidP="00404080">
            <w:pPr>
              <w:spacing w:line="276" w:lineRule="auto"/>
              <w:contextualSpacing/>
              <w:jc w:val="center"/>
              <w:rPr>
                <w:rFonts w:cs="Arial"/>
                <w:szCs w:val="20"/>
              </w:rPr>
            </w:pPr>
            <w:r w:rsidRPr="00382A62">
              <w:rPr>
                <w:rFonts w:cs="Arial"/>
                <w:szCs w:val="20"/>
              </w:rPr>
              <w:t>5.158</w:t>
            </w:r>
          </w:p>
        </w:tc>
        <w:tc>
          <w:tcPr>
            <w:tcW w:w="1380" w:type="dxa"/>
            <w:shd w:val="clear" w:color="auto" w:fill="auto"/>
            <w:noWrap/>
            <w:vAlign w:val="center"/>
          </w:tcPr>
          <w:p w14:paraId="781EF488" w14:textId="57104623" w:rsidR="00404080" w:rsidRPr="00382A62" w:rsidRDefault="009557A0" w:rsidP="00404080">
            <w:pPr>
              <w:spacing w:line="276" w:lineRule="auto"/>
              <w:contextualSpacing/>
              <w:jc w:val="center"/>
              <w:rPr>
                <w:rFonts w:cs="Arial"/>
                <w:szCs w:val="20"/>
              </w:rPr>
            </w:pPr>
            <w:r w:rsidRPr="00382A62">
              <w:rPr>
                <w:rFonts w:cs="Arial"/>
                <w:szCs w:val="20"/>
              </w:rPr>
              <w:t>3.050</w:t>
            </w:r>
          </w:p>
        </w:tc>
      </w:tr>
      <w:tr w:rsidR="00404080" w:rsidRPr="00382A62" w14:paraId="6C783C4E" w14:textId="77777777" w:rsidTr="007D00B2">
        <w:trPr>
          <w:trHeight w:val="285"/>
          <w:jc w:val="center"/>
        </w:trPr>
        <w:tc>
          <w:tcPr>
            <w:tcW w:w="3720" w:type="dxa"/>
            <w:shd w:val="clear" w:color="auto" w:fill="auto"/>
            <w:noWrap/>
            <w:vAlign w:val="center"/>
            <w:hideMark/>
          </w:tcPr>
          <w:p w14:paraId="21050475" w14:textId="77777777" w:rsidR="00404080" w:rsidRPr="00382A62" w:rsidRDefault="00404080" w:rsidP="00404080">
            <w:pPr>
              <w:spacing w:line="276" w:lineRule="auto"/>
              <w:contextualSpacing/>
              <w:jc w:val="left"/>
              <w:rPr>
                <w:rFonts w:cs="Arial"/>
                <w:b/>
                <w:szCs w:val="20"/>
              </w:rPr>
            </w:pPr>
            <w:r w:rsidRPr="00382A62">
              <w:rPr>
                <w:rFonts w:cs="Arial"/>
                <w:b/>
                <w:szCs w:val="20"/>
              </w:rPr>
              <w:t>Total</w:t>
            </w:r>
          </w:p>
        </w:tc>
        <w:tc>
          <w:tcPr>
            <w:tcW w:w="1380" w:type="dxa"/>
            <w:shd w:val="clear" w:color="auto" w:fill="auto"/>
            <w:noWrap/>
            <w:vAlign w:val="center"/>
          </w:tcPr>
          <w:p w14:paraId="5888B11A" w14:textId="4A9A9A21" w:rsidR="00404080" w:rsidRPr="00382A62" w:rsidRDefault="009557A0" w:rsidP="00404080">
            <w:pPr>
              <w:spacing w:line="276" w:lineRule="auto"/>
              <w:contextualSpacing/>
              <w:jc w:val="center"/>
              <w:rPr>
                <w:rFonts w:cs="Arial"/>
                <w:b/>
                <w:bCs/>
                <w:szCs w:val="20"/>
              </w:rPr>
            </w:pPr>
            <w:r w:rsidRPr="00382A62">
              <w:rPr>
                <w:rFonts w:cs="Arial"/>
                <w:b/>
                <w:bCs/>
                <w:szCs w:val="20"/>
              </w:rPr>
              <w:t>22.161</w:t>
            </w:r>
          </w:p>
        </w:tc>
        <w:tc>
          <w:tcPr>
            <w:tcW w:w="1380" w:type="dxa"/>
            <w:shd w:val="clear" w:color="auto" w:fill="auto"/>
            <w:noWrap/>
            <w:vAlign w:val="center"/>
          </w:tcPr>
          <w:p w14:paraId="0EFF1FEB" w14:textId="1C91850C" w:rsidR="00404080" w:rsidRPr="00382A62" w:rsidRDefault="009557A0" w:rsidP="00404080">
            <w:pPr>
              <w:spacing w:line="276" w:lineRule="auto"/>
              <w:contextualSpacing/>
              <w:jc w:val="center"/>
              <w:rPr>
                <w:rFonts w:cs="Arial"/>
                <w:b/>
                <w:szCs w:val="20"/>
              </w:rPr>
            </w:pPr>
            <w:r w:rsidRPr="00382A62">
              <w:rPr>
                <w:rFonts w:cs="Arial"/>
                <w:b/>
                <w:bCs/>
                <w:szCs w:val="20"/>
              </w:rPr>
              <w:t>19.854</w:t>
            </w:r>
          </w:p>
        </w:tc>
      </w:tr>
    </w:tbl>
    <w:p w14:paraId="5BAE768B" w14:textId="77777777" w:rsidR="007605E6" w:rsidRPr="00382A62" w:rsidRDefault="007605E6" w:rsidP="007605E6">
      <w:pPr>
        <w:rPr>
          <w:rFonts w:cs="Arial"/>
          <w:szCs w:val="20"/>
        </w:rPr>
      </w:pPr>
    </w:p>
    <w:p w14:paraId="4F06963A" w14:textId="77777777" w:rsidR="007605E6" w:rsidRPr="00382A62" w:rsidRDefault="007605E6" w:rsidP="007605E6">
      <w:pPr>
        <w:rPr>
          <w:rFonts w:cs="Arial"/>
          <w:szCs w:val="20"/>
        </w:rPr>
      </w:pPr>
      <w:r w:rsidRPr="00382A62">
        <w:rPr>
          <w:rFonts w:cs="Arial"/>
          <w:szCs w:val="20"/>
        </w:rPr>
        <w:t>Las acciones que se han adjudicado y traspasado se detallan seguidamente:</w:t>
      </w:r>
    </w:p>
    <w:p w14:paraId="4ABDFFD8" w14:textId="78515E43" w:rsidR="007605E6" w:rsidRPr="00382A62" w:rsidRDefault="007605E6" w:rsidP="007605E6">
      <w:pPr>
        <w:pStyle w:val="Descripcin"/>
        <w:rPr>
          <w:rFonts w:cs="Arial"/>
          <w:szCs w:val="20"/>
        </w:rPr>
      </w:pPr>
      <w:r w:rsidRPr="00382A62">
        <w:rPr>
          <w:rFonts w:cs="Arial"/>
          <w:szCs w:val="20"/>
        </w:rPr>
        <w:t xml:space="preserve">Tabla </w:t>
      </w:r>
      <w:r w:rsidR="00834FD6">
        <w:rPr>
          <w:rFonts w:cs="Arial"/>
          <w:szCs w:val="20"/>
        </w:rPr>
        <w:t>50</w:t>
      </w:r>
      <w:r w:rsidRPr="00382A62">
        <w:rPr>
          <w:rFonts w:cs="Arial"/>
          <w:szCs w:val="20"/>
        </w:rPr>
        <w:t xml:space="preserve"> - Acciones adjudicadas y traspasadas</w:t>
      </w:r>
    </w:p>
    <w:tbl>
      <w:tblPr>
        <w:tblW w:w="9980" w:type="dxa"/>
        <w:tblCellMar>
          <w:left w:w="70" w:type="dxa"/>
          <w:right w:w="70" w:type="dxa"/>
        </w:tblCellMar>
        <w:tblLook w:val="04A0" w:firstRow="1" w:lastRow="0" w:firstColumn="1" w:lastColumn="0" w:noHBand="0" w:noVBand="1"/>
      </w:tblPr>
      <w:tblGrid>
        <w:gridCol w:w="1220"/>
        <w:gridCol w:w="1220"/>
        <w:gridCol w:w="1220"/>
        <w:gridCol w:w="1220"/>
        <w:gridCol w:w="1220"/>
        <w:gridCol w:w="1940"/>
        <w:gridCol w:w="1940"/>
      </w:tblGrid>
      <w:tr w:rsidR="007605E6" w:rsidRPr="00382A62" w14:paraId="19C3F9E8" w14:textId="77777777" w:rsidTr="007D00B2">
        <w:trPr>
          <w:trHeight w:val="552"/>
        </w:trPr>
        <w:tc>
          <w:tcPr>
            <w:tcW w:w="1220" w:type="dxa"/>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60CD3F6"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Periodo</w:t>
            </w:r>
          </w:p>
        </w:tc>
        <w:tc>
          <w:tcPr>
            <w:tcW w:w="1220" w:type="dxa"/>
            <w:tcBorders>
              <w:top w:val="single" w:sz="4" w:space="0" w:color="A6A6A6"/>
              <w:left w:val="nil"/>
              <w:bottom w:val="single" w:sz="4" w:space="0" w:color="A6A6A6"/>
              <w:right w:val="single" w:sz="4" w:space="0" w:color="A6A6A6"/>
            </w:tcBorders>
            <w:shd w:val="clear" w:color="000000" w:fill="F2F2F2"/>
            <w:vAlign w:val="center"/>
            <w:hideMark/>
          </w:tcPr>
          <w:p w14:paraId="652C840B"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Cantidad adjudicada</w:t>
            </w:r>
          </w:p>
        </w:tc>
        <w:tc>
          <w:tcPr>
            <w:tcW w:w="1220" w:type="dxa"/>
            <w:tcBorders>
              <w:top w:val="single" w:sz="4" w:space="0" w:color="A6A6A6"/>
              <w:left w:val="nil"/>
              <w:bottom w:val="single" w:sz="4" w:space="0" w:color="A6A6A6"/>
              <w:right w:val="single" w:sz="4" w:space="0" w:color="A6A6A6"/>
            </w:tcBorders>
            <w:shd w:val="clear" w:color="000000" w:fill="F2F2F2"/>
            <w:vAlign w:val="center"/>
            <w:hideMark/>
          </w:tcPr>
          <w:p w14:paraId="77D2879D"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Cantidad traspasada</w:t>
            </w:r>
          </w:p>
        </w:tc>
        <w:tc>
          <w:tcPr>
            <w:tcW w:w="1220" w:type="dxa"/>
            <w:tcBorders>
              <w:top w:val="single" w:sz="4" w:space="0" w:color="A6A6A6"/>
              <w:left w:val="nil"/>
              <w:bottom w:val="single" w:sz="4" w:space="0" w:color="A6A6A6"/>
              <w:right w:val="single" w:sz="4" w:space="0" w:color="A6A6A6"/>
            </w:tcBorders>
            <w:shd w:val="clear" w:color="000000" w:fill="F2F2F2"/>
            <w:vAlign w:val="center"/>
            <w:hideMark/>
          </w:tcPr>
          <w:p w14:paraId="62A98845"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No utilizadas</w:t>
            </w:r>
          </w:p>
        </w:tc>
        <w:tc>
          <w:tcPr>
            <w:tcW w:w="1220" w:type="dxa"/>
            <w:tcBorders>
              <w:top w:val="single" w:sz="4" w:space="0" w:color="A6A6A6"/>
              <w:left w:val="nil"/>
              <w:bottom w:val="single" w:sz="4" w:space="0" w:color="A6A6A6"/>
              <w:right w:val="single" w:sz="4" w:space="0" w:color="A6A6A6"/>
            </w:tcBorders>
            <w:shd w:val="clear" w:color="000000" w:fill="F2F2F2"/>
            <w:vAlign w:val="center"/>
            <w:hideMark/>
          </w:tcPr>
          <w:p w14:paraId="1CDDB12F"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Saldo</w:t>
            </w:r>
          </w:p>
        </w:tc>
        <w:tc>
          <w:tcPr>
            <w:tcW w:w="1940" w:type="dxa"/>
            <w:tcBorders>
              <w:top w:val="single" w:sz="4" w:space="0" w:color="A6A6A6"/>
              <w:left w:val="nil"/>
              <w:bottom w:val="single" w:sz="4" w:space="0" w:color="A6A6A6"/>
              <w:right w:val="single" w:sz="4" w:space="0" w:color="A6A6A6"/>
            </w:tcBorders>
            <w:shd w:val="clear" w:color="000000" w:fill="F2F2F2"/>
            <w:vAlign w:val="center"/>
            <w:hideMark/>
          </w:tcPr>
          <w:p w14:paraId="7FE3240C"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Fecha valor</w:t>
            </w:r>
          </w:p>
        </w:tc>
        <w:tc>
          <w:tcPr>
            <w:tcW w:w="1940" w:type="dxa"/>
            <w:tcBorders>
              <w:top w:val="single" w:sz="4" w:space="0" w:color="A6A6A6"/>
              <w:left w:val="nil"/>
              <w:bottom w:val="single" w:sz="4" w:space="0" w:color="A6A6A6"/>
              <w:right w:val="single" w:sz="4" w:space="0" w:color="A6A6A6"/>
            </w:tcBorders>
            <w:shd w:val="clear" w:color="000000" w:fill="F2F2F2"/>
            <w:vAlign w:val="center"/>
            <w:hideMark/>
          </w:tcPr>
          <w:p w14:paraId="47EAE79B"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Vencimiento final</w:t>
            </w:r>
          </w:p>
        </w:tc>
      </w:tr>
      <w:tr w:rsidR="00A01ED9" w:rsidRPr="00382A62" w14:paraId="2CAAB64D" w14:textId="77777777" w:rsidTr="007D00B2">
        <w:trPr>
          <w:trHeight w:val="276"/>
        </w:trPr>
        <w:tc>
          <w:tcPr>
            <w:tcW w:w="1220" w:type="dxa"/>
            <w:tcBorders>
              <w:top w:val="nil"/>
              <w:left w:val="single" w:sz="4" w:space="0" w:color="A6A6A6"/>
              <w:bottom w:val="single" w:sz="4" w:space="0" w:color="A6A6A6"/>
              <w:right w:val="single" w:sz="4" w:space="0" w:color="A6A6A6"/>
            </w:tcBorders>
            <w:shd w:val="clear" w:color="auto" w:fill="auto"/>
            <w:noWrap/>
            <w:vAlign w:val="bottom"/>
            <w:hideMark/>
          </w:tcPr>
          <w:p w14:paraId="0B9EFAD9" w14:textId="551163EB" w:rsidR="00A01ED9" w:rsidRPr="00382A62" w:rsidRDefault="00A01ED9" w:rsidP="00A01ED9">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2021</w:t>
            </w:r>
          </w:p>
        </w:tc>
        <w:tc>
          <w:tcPr>
            <w:tcW w:w="1220" w:type="dxa"/>
            <w:tcBorders>
              <w:top w:val="nil"/>
              <w:left w:val="nil"/>
              <w:bottom w:val="single" w:sz="4" w:space="0" w:color="A6A6A6"/>
              <w:right w:val="single" w:sz="4" w:space="0" w:color="A6A6A6"/>
            </w:tcBorders>
            <w:shd w:val="clear" w:color="auto" w:fill="auto"/>
            <w:noWrap/>
            <w:vAlign w:val="bottom"/>
            <w:hideMark/>
          </w:tcPr>
          <w:p w14:paraId="6D09FD31" w14:textId="2552D9CD"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95.050</w:t>
            </w:r>
          </w:p>
        </w:tc>
        <w:tc>
          <w:tcPr>
            <w:tcW w:w="1220" w:type="dxa"/>
            <w:tcBorders>
              <w:top w:val="nil"/>
              <w:left w:val="nil"/>
              <w:bottom w:val="single" w:sz="4" w:space="0" w:color="A6A6A6"/>
              <w:right w:val="single" w:sz="4" w:space="0" w:color="A6A6A6"/>
            </w:tcBorders>
            <w:shd w:val="clear" w:color="auto" w:fill="auto"/>
            <w:noWrap/>
            <w:vAlign w:val="bottom"/>
            <w:hideMark/>
          </w:tcPr>
          <w:p w14:paraId="33434101" w14:textId="64CC2ECF"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38.829</w:t>
            </w:r>
          </w:p>
        </w:tc>
        <w:tc>
          <w:tcPr>
            <w:tcW w:w="1220" w:type="dxa"/>
            <w:tcBorders>
              <w:top w:val="nil"/>
              <w:left w:val="nil"/>
              <w:bottom w:val="single" w:sz="4" w:space="0" w:color="A6A6A6"/>
              <w:right w:val="single" w:sz="4" w:space="0" w:color="A6A6A6"/>
            </w:tcBorders>
            <w:shd w:val="clear" w:color="auto" w:fill="auto"/>
            <w:noWrap/>
            <w:vAlign w:val="bottom"/>
            <w:hideMark/>
          </w:tcPr>
          <w:p w14:paraId="3621951C" w14:textId="3AD27426"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36.401</w:t>
            </w:r>
          </w:p>
        </w:tc>
        <w:tc>
          <w:tcPr>
            <w:tcW w:w="1220" w:type="dxa"/>
            <w:tcBorders>
              <w:top w:val="nil"/>
              <w:left w:val="nil"/>
              <w:bottom w:val="single" w:sz="4" w:space="0" w:color="A6A6A6"/>
              <w:right w:val="single" w:sz="4" w:space="0" w:color="A6A6A6"/>
            </w:tcBorders>
            <w:shd w:val="clear" w:color="auto" w:fill="auto"/>
            <w:noWrap/>
            <w:vAlign w:val="bottom"/>
            <w:hideMark/>
          </w:tcPr>
          <w:p w14:paraId="41623388" w14:textId="46C8209B"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19.820             </w:t>
            </w:r>
          </w:p>
        </w:tc>
        <w:tc>
          <w:tcPr>
            <w:tcW w:w="1940" w:type="dxa"/>
            <w:tcBorders>
              <w:top w:val="nil"/>
              <w:left w:val="nil"/>
              <w:bottom w:val="single" w:sz="4" w:space="0" w:color="A6A6A6"/>
              <w:right w:val="single" w:sz="4" w:space="0" w:color="A6A6A6"/>
            </w:tcBorders>
            <w:shd w:val="clear" w:color="auto" w:fill="auto"/>
            <w:noWrap/>
            <w:vAlign w:val="bottom"/>
            <w:hideMark/>
          </w:tcPr>
          <w:p w14:paraId="6F5FB282" w14:textId="69498D54"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31 diciembre de 2020 </w:t>
            </w:r>
          </w:p>
        </w:tc>
        <w:tc>
          <w:tcPr>
            <w:tcW w:w="1940" w:type="dxa"/>
            <w:tcBorders>
              <w:top w:val="nil"/>
              <w:left w:val="nil"/>
              <w:bottom w:val="single" w:sz="4" w:space="0" w:color="A6A6A6"/>
              <w:right w:val="single" w:sz="4" w:space="0" w:color="A6A6A6"/>
            </w:tcBorders>
            <w:shd w:val="clear" w:color="auto" w:fill="auto"/>
            <w:noWrap/>
            <w:vAlign w:val="bottom"/>
            <w:hideMark/>
          </w:tcPr>
          <w:p w14:paraId="455017B8" w14:textId="68435206"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31 de diciembre 2024 </w:t>
            </w:r>
          </w:p>
        </w:tc>
      </w:tr>
      <w:tr w:rsidR="00A01ED9" w:rsidRPr="00382A62" w14:paraId="2D5388E3" w14:textId="77777777" w:rsidTr="007D00B2">
        <w:trPr>
          <w:trHeight w:val="276"/>
        </w:trPr>
        <w:tc>
          <w:tcPr>
            <w:tcW w:w="1220" w:type="dxa"/>
            <w:tcBorders>
              <w:top w:val="nil"/>
              <w:left w:val="single" w:sz="4" w:space="0" w:color="A6A6A6"/>
              <w:bottom w:val="single" w:sz="4" w:space="0" w:color="A6A6A6"/>
              <w:right w:val="single" w:sz="4" w:space="0" w:color="A6A6A6"/>
            </w:tcBorders>
            <w:shd w:val="clear" w:color="auto" w:fill="auto"/>
            <w:noWrap/>
            <w:vAlign w:val="bottom"/>
            <w:hideMark/>
          </w:tcPr>
          <w:p w14:paraId="2C207440" w14:textId="2C3DBA96" w:rsidR="00A01ED9" w:rsidRPr="00382A62" w:rsidRDefault="00A01ED9" w:rsidP="00A01ED9">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2022</w:t>
            </w:r>
          </w:p>
        </w:tc>
        <w:tc>
          <w:tcPr>
            <w:tcW w:w="1220" w:type="dxa"/>
            <w:tcBorders>
              <w:top w:val="nil"/>
              <w:left w:val="nil"/>
              <w:bottom w:val="single" w:sz="4" w:space="0" w:color="A6A6A6"/>
              <w:right w:val="single" w:sz="4" w:space="0" w:color="A6A6A6"/>
            </w:tcBorders>
            <w:shd w:val="clear" w:color="auto" w:fill="auto"/>
            <w:noWrap/>
            <w:vAlign w:val="bottom"/>
            <w:hideMark/>
          </w:tcPr>
          <w:p w14:paraId="741891A4" w14:textId="6A840796"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1.406.633 </w:t>
            </w:r>
          </w:p>
        </w:tc>
        <w:tc>
          <w:tcPr>
            <w:tcW w:w="1220" w:type="dxa"/>
            <w:tcBorders>
              <w:top w:val="nil"/>
              <w:left w:val="nil"/>
              <w:bottom w:val="single" w:sz="4" w:space="0" w:color="A6A6A6"/>
              <w:right w:val="single" w:sz="4" w:space="0" w:color="A6A6A6"/>
            </w:tcBorders>
            <w:shd w:val="clear" w:color="auto" w:fill="auto"/>
            <w:noWrap/>
            <w:vAlign w:val="bottom"/>
            <w:hideMark/>
          </w:tcPr>
          <w:p w14:paraId="6D982AF9" w14:textId="77777777"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26.441 </w:t>
            </w:r>
          </w:p>
        </w:tc>
        <w:tc>
          <w:tcPr>
            <w:tcW w:w="1220" w:type="dxa"/>
            <w:tcBorders>
              <w:top w:val="nil"/>
              <w:left w:val="nil"/>
              <w:bottom w:val="single" w:sz="4" w:space="0" w:color="A6A6A6"/>
              <w:right w:val="single" w:sz="4" w:space="0" w:color="A6A6A6"/>
            </w:tcBorders>
            <w:shd w:val="clear" w:color="auto" w:fill="auto"/>
            <w:noWrap/>
            <w:vAlign w:val="bottom"/>
            <w:hideMark/>
          </w:tcPr>
          <w:p w14:paraId="01B58FF7" w14:textId="2F1E20B8"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w:t>
            </w:r>
            <w:r w:rsidR="00A2062E" w:rsidRPr="00382A62">
              <w:rPr>
                <w:rFonts w:eastAsia="Times New Roman" w:cs="Arial"/>
                <w:color w:val="000000"/>
                <w:szCs w:val="20"/>
                <w:lang w:eastAsia="es-CR"/>
              </w:rPr>
              <w:t>113.264</w:t>
            </w:r>
          </w:p>
        </w:tc>
        <w:tc>
          <w:tcPr>
            <w:tcW w:w="1220" w:type="dxa"/>
            <w:tcBorders>
              <w:top w:val="nil"/>
              <w:left w:val="nil"/>
              <w:bottom w:val="single" w:sz="4" w:space="0" w:color="A6A6A6"/>
              <w:right w:val="single" w:sz="4" w:space="0" w:color="A6A6A6"/>
            </w:tcBorders>
            <w:shd w:val="clear" w:color="auto" w:fill="auto"/>
            <w:noWrap/>
            <w:vAlign w:val="bottom"/>
            <w:hideMark/>
          </w:tcPr>
          <w:p w14:paraId="2D60B3CC" w14:textId="466CEC33"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w:t>
            </w:r>
            <w:r w:rsidR="004555C1" w:rsidRPr="00382A62">
              <w:rPr>
                <w:rFonts w:eastAsia="Times New Roman" w:cs="Arial"/>
                <w:color w:val="000000"/>
                <w:szCs w:val="20"/>
                <w:lang w:eastAsia="es-CR"/>
              </w:rPr>
              <w:t>832.264</w:t>
            </w:r>
          </w:p>
        </w:tc>
        <w:tc>
          <w:tcPr>
            <w:tcW w:w="1940" w:type="dxa"/>
            <w:tcBorders>
              <w:top w:val="nil"/>
              <w:left w:val="nil"/>
              <w:bottom w:val="single" w:sz="4" w:space="0" w:color="A6A6A6"/>
              <w:right w:val="single" w:sz="4" w:space="0" w:color="A6A6A6"/>
            </w:tcBorders>
            <w:shd w:val="clear" w:color="auto" w:fill="auto"/>
            <w:noWrap/>
            <w:vAlign w:val="bottom"/>
            <w:hideMark/>
          </w:tcPr>
          <w:p w14:paraId="71DE745F" w14:textId="3DBFD0A1"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31 diciembre de 2021 </w:t>
            </w:r>
          </w:p>
        </w:tc>
        <w:tc>
          <w:tcPr>
            <w:tcW w:w="1940" w:type="dxa"/>
            <w:tcBorders>
              <w:top w:val="nil"/>
              <w:left w:val="nil"/>
              <w:bottom w:val="single" w:sz="4" w:space="0" w:color="A6A6A6"/>
              <w:right w:val="single" w:sz="4" w:space="0" w:color="A6A6A6"/>
            </w:tcBorders>
            <w:shd w:val="clear" w:color="auto" w:fill="auto"/>
            <w:noWrap/>
            <w:vAlign w:val="bottom"/>
            <w:hideMark/>
          </w:tcPr>
          <w:p w14:paraId="7E235A7E" w14:textId="39A9AE66"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31 de diciembre 2025 </w:t>
            </w:r>
          </w:p>
        </w:tc>
      </w:tr>
      <w:tr w:rsidR="00A01ED9" w:rsidRPr="00382A62" w14:paraId="72871D4E" w14:textId="77777777" w:rsidTr="007D00B2">
        <w:trPr>
          <w:trHeight w:val="276"/>
        </w:trPr>
        <w:tc>
          <w:tcPr>
            <w:tcW w:w="1220" w:type="dxa"/>
            <w:tcBorders>
              <w:top w:val="nil"/>
              <w:left w:val="single" w:sz="4" w:space="0" w:color="A6A6A6"/>
              <w:bottom w:val="single" w:sz="4" w:space="0" w:color="A6A6A6"/>
              <w:right w:val="single" w:sz="4" w:space="0" w:color="A6A6A6"/>
            </w:tcBorders>
            <w:shd w:val="clear" w:color="auto" w:fill="auto"/>
            <w:noWrap/>
            <w:vAlign w:val="bottom"/>
            <w:hideMark/>
          </w:tcPr>
          <w:p w14:paraId="78B742B4" w14:textId="499AA347" w:rsidR="00A01ED9" w:rsidRPr="00382A62" w:rsidRDefault="00A01ED9" w:rsidP="00A01ED9">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2023</w:t>
            </w:r>
          </w:p>
        </w:tc>
        <w:tc>
          <w:tcPr>
            <w:tcW w:w="1220" w:type="dxa"/>
            <w:tcBorders>
              <w:top w:val="nil"/>
              <w:left w:val="nil"/>
              <w:bottom w:val="single" w:sz="4" w:space="0" w:color="A6A6A6"/>
              <w:right w:val="single" w:sz="4" w:space="0" w:color="A6A6A6"/>
            </w:tcBorders>
            <w:shd w:val="clear" w:color="auto" w:fill="auto"/>
            <w:noWrap/>
            <w:vAlign w:val="bottom"/>
            <w:hideMark/>
          </w:tcPr>
          <w:p w14:paraId="2986F638" w14:textId="5CE1BF81"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1.340.945        </w:t>
            </w:r>
          </w:p>
        </w:tc>
        <w:tc>
          <w:tcPr>
            <w:tcW w:w="1220" w:type="dxa"/>
            <w:tcBorders>
              <w:top w:val="nil"/>
              <w:left w:val="nil"/>
              <w:bottom w:val="single" w:sz="4" w:space="0" w:color="A6A6A6"/>
              <w:right w:val="single" w:sz="4" w:space="0" w:color="A6A6A6"/>
            </w:tcBorders>
            <w:shd w:val="clear" w:color="auto" w:fill="auto"/>
            <w:noWrap/>
            <w:vAlign w:val="bottom"/>
            <w:hideMark/>
          </w:tcPr>
          <w:p w14:paraId="39A07B84" w14:textId="330A009F"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w:t>
            </w:r>
            <w:r w:rsidR="0040129D" w:rsidRPr="00382A62">
              <w:rPr>
                <w:rFonts w:eastAsia="Times New Roman" w:cs="Arial"/>
                <w:color w:val="000000"/>
                <w:szCs w:val="20"/>
                <w:lang w:eastAsia="es-CR"/>
              </w:rPr>
              <w:t>258.872</w:t>
            </w:r>
          </w:p>
        </w:tc>
        <w:tc>
          <w:tcPr>
            <w:tcW w:w="1220" w:type="dxa"/>
            <w:tcBorders>
              <w:top w:val="nil"/>
              <w:left w:val="nil"/>
              <w:bottom w:val="single" w:sz="4" w:space="0" w:color="A6A6A6"/>
              <w:right w:val="single" w:sz="4" w:space="0" w:color="A6A6A6"/>
            </w:tcBorders>
            <w:shd w:val="clear" w:color="auto" w:fill="auto"/>
            <w:noWrap/>
            <w:vAlign w:val="bottom"/>
            <w:hideMark/>
          </w:tcPr>
          <w:p w14:paraId="5CAF4121" w14:textId="0B5A19C0"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w:t>
            </w:r>
            <w:r w:rsidR="00A2062E" w:rsidRPr="00382A62">
              <w:rPr>
                <w:rFonts w:eastAsia="Times New Roman" w:cs="Arial"/>
                <w:color w:val="000000"/>
                <w:szCs w:val="20"/>
                <w:lang w:eastAsia="es-CR"/>
              </w:rPr>
              <w:t>46.578</w:t>
            </w:r>
          </w:p>
        </w:tc>
        <w:tc>
          <w:tcPr>
            <w:tcW w:w="1220" w:type="dxa"/>
            <w:tcBorders>
              <w:top w:val="nil"/>
              <w:left w:val="nil"/>
              <w:bottom w:val="single" w:sz="4" w:space="0" w:color="A6A6A6"/>
              <w:right w:val="single" w:sz="4" w:space="0" w:color="A6A6A6"/>
            </w:tcBorders>
            <w:shd w:val="clear" w:color="auto" w:fill="auto"/>
            <w:noWrap/>
            <w:vAlign w:val="bottom"/>
            <w:hideMark/>
          </w:tcPr>
          <w:p w14:paraId="4A628872" w14:textId="17BC984B"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w:t>
            </w:r>
            <w:r w:rsidR="00E06C4A" w:rsidRPr="00382A62">
              <w:rPr>
                <w:rFonts w:eastAsia="Times New Roman" w:cs="Arial"/>
                <w:color w:val="000000"/>
                <w:szCs w:val="20"/>
                <w:lang w:eastAsia="es-CR"/>
              </w:rPr>
              <w:t>1.035.495</w:t>
            </w:r>
          </w:p>
        </w:tc>
        <w:tc>
          <w:tcPr>
            <w:tcW w:w="1940" w:type="dxa"/>
            <w:tcBorders>
              <w:top w:val="nil"/>
              <w:left w:val="nil"/>
              <w:bottom w:val="single" w:sz="4" w:space="0" w:color="A6A6A6"/>
              <w:right w:val="single" w:sz="4" w:space="0" w:color="A6A6A6"/>
            </w:tcBorders>
            <w:shd w:val="clear" w:color="auto" w:fill="auto"/>
            <w:noWrap/>
            <w:vAlign w:val="bottom"/>
            <w:hideMark/>
          </w:tcPr>
          <w:p w14:paraId="4119681D" w14:textId="286F757D"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31 diciembre de 202</w:t>
            </w:r>
            <w:r w:rsidR="00E06C4A" w:rsidRPr="00382A62">
              <w:rPr>
                <w:rFonts w:eastAsia="Times New Roman" w:cs="Arial"/>
                <w:color w:val="000000"/>
                <w:szCs w:val="20"/>
                <w:lang w:eastAsia="es-CR"/>
              </w:rPr>
              <w:t>2</w:t>
            </w:r>
            <w:r w:rsidRPr="00382A62">
              <w:rPr>
                <w:rFonts w:eastAsia="Times New Roman" w:cs="Arial"/>
                <w:color w:val="000000"/>
                <w:szCs w:val="20"/>
                <w:lang w:eastAsia="es-CR"/>
              </w:rPr>
              <w:t xml:space="preserve"> </w:t>
            </w:r>
          </w:p>
        </w:tc>
        <w:tc>
          <w:tcPr>
            <w:tcW w:w="1940" w:type="dxa"/>
            <w:tcBorders>
              <w:top w:val="nil"/>
              <w:left w:val="nil"/>
              <w:bottom w:val="single" w:sz="4" w:space="0" w:color="A6A6A6"/>
              <w:right w:val="single" w:sz="4" w:space="0" w:color="A6A6A6"/>
            </w:tcBorders>
            <w:shd w:val="clear" w:color="auto" w:fill="auto"/>
            <w:noWrap/>
            <w:vAlign w:val="bottom"/>
            <w:hideMark/>
          </w:tcPr>
          <w:p w14:paraId="06BBED31" w14:textId="754D1810"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31 de diciembre 202</w:t>
            </w:r>
            <w:r w:rsidR="00E06C4A" w:rsidRPr="00382A62">
              <w:rPr>
                <w:rFonts w:eastAsia="Times New Roman" w:cs="Arial"/>
                <w:color w:val="000000"/>
                <w:szCs w:val="20"/>
                <w:lang w:eastAsia="es-CR"/>
              </w:rPr>
              <w:t>6</w:t>
            </w:r>
            <w:r w:rsidRPr="00382A62">
              <w:rPr>
                <w:rFonts w:eastAsia="Times New Roman" w:cs="Arial"/>
                <w:color w:val="000000"/>
                <w:szCs w:val="20"/>
                <w:lang w:eastAsia="es-CR"/>
              </w:rPr>
              <w:t xml:space="preserve"> </w:t>
            </w:r>
          </w:p>
        </w:tc>
      </w:tr>
      <w:tr w:rsidR="00636F00" w:rsidRPr="00382A62" w14:paraId="52A8C208" w14:textId="77777777" w:rsidTr="007D00B2">
        <w:trPr>
          <w:trHeight w:val="276"/>
        </w:trPr>
        <w:tc>
          <w:tcPr>
            <w:tcW w:w="1220" w:type="dxa"/>
            <w:tcBorders>
              <w:top w:val="nil"/>
              <w:left w:val="single" w:sz="4" w:space="0" w:color="A6A6A6"/>
              <w:bottom w:val="single" w:sz="4" w:space="0" w:color="A6A6A6"/>
              <w:right w:val="single" w:sz="4" w:space="0" w:color="A6A6A6"/>
            </w:tcBorders>
            <w:shd w:val="clear" w:color="auto" w:fill="auto"/>
            <w:noWrap/>
            <w:vAlign w:val="bottom"/>
            <w:hideMark/>
          </w:tcPr>
          <w:p w14:paraId="447C357E" w14:textId="77777777" w:rsidR="00636F00" w:rsidRPr="00382A62" w:rsidRDefault="00636F00" w:rsidP="00636F00">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 xml:space="preserve"> Total </w:t>
            </w:r>
          </w:p>
        </w:tc>
        <w:tc>
          <w:tcPr>
            <w:tcW w:w="1220" w:type="dxa"/>
            <w:tcBorders>
              <w:top w:val="nil"/>
              <w:left w:val="nil"/>
              <w:bottom w:val="single" w:sz="4" w:space="0" w:color="A6A6A6"/>
              <w:right w:val="single" w:sz="4" w:space="0" w:color="A6A6A6"/>
            </w:tcBorders>
            <w:shd w:val="clear" w:color="auto" w:fill="auto"/>
            <w:noWrap/>
            <w:vAlign w:val="bottom"/>
            <w:hideMark/>
          </w:tcPr>
          <w:p w14:paraId="6C1CFBDC" w14:textId="3CC13ABB" w:rsidR="00636F00" w:rsidRPr="00382A62" w:rsidRDefault="00636F00" w:rsidP="00636F0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w:t>
            </w:r>
            <w:r w:rsidR="004F613D" w:rsidRPr="00382A62">
              <w:rPr>
                <w:rFonts w:eastAsia="Times New Roman" w:cs="Arial"/>
                <w:color w:val="000000"/>
                <w:szCs w:val="20"/>
                <w:lang w:eastAsia="es-CR"/>
              </w:rPr>
              <w:t>2.842.628</w:t>
            </w:r>
          </w:p>
        </w:tc>
        <w:tc>
          <w:tcPr>
            <w:tcW w:w="1220" w:type="dxa"/>
            <w:tcBorders>
              <w:top w:val="nil"/>
              <w:left w:val="nil"/>
              <w:bottom w:val="single" w:sz="4" w:space="0" w:color="A6A6A6"/>
              <w:right w:val="single" w:sz="4" w:space="0" w:color="A6A6A6"/>
            </w:tcBorders>
            <w:shd w:val="clear" w:color="auto" w:fill="auto"/>
            <w:noWrap/>
            <w:vAlign w:val="bottom"/>
            <w:hideMark/>
          </w:tcPr>
          <w:p w14:paraId="2EF72600" w14:textId="2474D072" w:rsidR="00636F00" w:rsidRPr="00382A62" w:rsidRDefault="00636F00" w:rsidP="00636F0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w:t>
            </w:r>
            <w:r w:rsidR="00A2062E" w:rsidRPr="00382A62">
              <w:rPr>
                <w:rFonts w:eastAsia="Times New Roman" w:cs="Arial"/>
                <w:color w:val="000000"/>
                <w:szCs w:val="20"/>
                <w:lang w:eastAsia="es-CR"/>
              </w:rPr>
              <w:t>758.806</w:t>
            </w:r>
          </w:p>
        </w:tc>
        <w:tc>
          <w:tcPr>
            <w:tcW w:w="1220" w:type="dxa"/>
            <w:tcBorders>
              <w:top w:val="nil"/>
              <w:left w:val="nil"/>
              <w:bottom w:val="single" w:sz="4" w:space="0" w:color="A6A6A6"/>
              <w:right w:val="single" w:sz="4" w:space="0" w:color="A6A6A6"/>
            </w:tcBorders>
            <w:shd w:val="clear" w:color="auto" w:fill="auto"/>
            <w:noWrap/>
            <w:vAlign w:val="bottom"/>
            <w:hideMark/>
          </w:tcPr>
          <w:p w14:paraId="5A79AA3C" w14:textId="42EB416A" w:rsidR="00636F00" w:rsidRPr="00382A62" w:rsidRDefault="00636F00" w:rsidP="00636F0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w:t>
            </w:r>
            <w:r w:rsidR="00A2062E" w:rsidRPr="00382A62">
              <w:rPr>
                <w:rFonts w:eastAsia="Times New Roman" w:cs="Arial"/>
                <w:color w:val="000000"/>
                <w:szCs w:val="20"/>
                <w:lang w:eastAsia="es-CR"/>
              </w:rPr>
              <w:t>196.243</w:t>
            </w:r>
          </w:p>
        </w:tc>
        <w:tc>
          <w:tcPr>
            <w:tcW w:w="1220" w:type="dxa"/>
            <w:tcBorders>
              <w:top w:val="nil"/>
              <w:left w:val="nil"/>
              <w:bottom w:val="single" w:sz="4" w:space="0" w:color="A6A6A6"/>
              <w:right w:val="single" w:sz="4" w:space="0" w:color="A6A6A6"/>
            </w:tcBorders>
            <w:shd w:val="clear" w:color="auto" w:fill="auto"/>
            <w:noWrap/>
            <w:vAlign w:val="bottom"/>
            <w:hideMark/>
          </w:tcPr>
          <w:p w14:paraId="0884B0A5" w14:textId="019BCDA1" w:rsidR="00636F00" w:rsidRPr="00382A62" w:rsidRDefault="00636F00" w:rsidP="00636F0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w:t>
            </w:r>
            <w:r w:rsidR="00E06C4A" w:rsidRPr="00382A62">
              <w:rPr>
                <w:rFonts w:eastAsia="Times New Roman" w:cs="Arial"/>
                <w:color w:val="000000"/>
                <w:szCs w:val="20"/>
                <w:lang w:eastAsia="es-CR"/>
              </w:rPr>
              <w:t>1.887.579</w:t>
            </w:r>
          </w:p>
        </w:tc>
        <w:tc>
          <w:tcPr>
            <w:tcW w:w="1940" w:type="dxa"/>
            <w:tcBorders>
              <w:top w:val="nil"/>
              <w:left w:val="nil"/>
              <w:bottom w:val="single" w:sz="4" w:space="0" w:color="A6A6A6"/>
              <w:right w:val="single" w:sz="4" w:space="0" w:color="A6A6A6"/>
            </w:tcBorders>
            <w:shd w:val="clear" w:color="auto" w:fill="auto"/>
            <w:noWrap/>
            <w:vAlign w:val="bottom"/>
            <w:hideMark/>
          </w:tcPr>
          <w:p w14:paraId="65794C2F" w14:textId="77777777" w:rsidR="00636F00" w:rsidRPr="00382A62" w:rsidRDefault="00636F00" w:rsidP="00636F0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w:t>
            </w:r>
          </w:p>
        </w:tc>
        <w:tc>
          <w:tcPr>
            <w:tcW w:w="1940" w:type="dxa"/>
            <w:tcBorders>
              <w:top w:val="nil"/>
              <w:left w:val="nil"/>
              <w:bottom w:val="single" w:sz="4" w:space="0" w:color="A6A6A6"/>
              <w:right w:val="single" w:sz="4" w:space="0" w:color="A6A6A6"/>
            </w:tcBorders>
            <w:shd w:val="clear" w:color="auto" w:fill="auto"/>
            <w:noWrap/>
            <w:vAlign w:val="bottom"/>
            <w:hideMark/>
          </w:tcPr>
          <w:p w14:paraId="796C8149" w14:textId="77777777" w:rsidR="00636F00" w:rsidRPr="00382A62" w:rsidRDefault="00636F00" w:rsidP="00636F0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w:t>
            </w:r>
          </w:p>
        </w:tc>
      </w:tr>
    </w:tbl>
    <w:p w14:paraId="2F289821" w14:textId="77777777" w:rsidR="007605E6" w:rsidRPr="00382A62" w:rsidRDefault="007605E6" w:rsidP="007605E6">
      <w:pPr>
        <w:jc w:val="center"/>
        <w:rPr>
          <w:rFonts w:cs="Arial"/>
          <w:szCs w:val="20"/>
        </w:rPr>
      </w:pPr>
    </w:p>
    <w:p w14:paraId="4361010E" w14:textId="77777777" w:rsidR="007605E6" w:rsidRPr="00382A62" w:rsidRDefault="007605E6" w:rsidP="007605E6">
      <w:pPr>
        <w:pStyle w:val="Ttulo2"/>
        <w:numPr>
          <w:ilvl w:val="0"/>
          <w:numId w:val="12"/>
        </w:numPr>
        <w:rPr>
          <w:rFonts w:cs="Arial"/>
          <w:sz w:val="20"/>
          <w:szCs w:val="20"/>
        </w:rPr>
      </w:pPr>
      <w:bookmarkStart w:id="272" w:name="_Toc131092927"/>
      <w:bookmarkStart w:id="273" w:name="_Toc131501128"/>
      <w:bookmarkStart w:id="274" w:name="_Toc169624687"/>
      <w:r w:rsidRPr="00382A62">
        <w:rPr>
          <w:rFonts w:cs="Arial"/>
          <w:sz w:val="20"/>
          <w:szCs w:val="20"/>
        </w:rPr>
        <w:t>Personal</w:t>
      </w:r>
      <w:bookmarkEnd w:id="272"/>
      <w:bookmarkEnd w:id="273"/>
      <w:bookmarkEnd w:id="274"/>
    </w:p>
    <w:p w14:paraId="7B725278" w14:textId="755A3AFD" w:rsidR="007605E6" w:rsidRPr="00382A62" w:rsidRDefault="007605E6" w:rsidP="007605E6">
      <w:pPr>
        <w:rPr>
          <w:rFonts w:cs="Arial"/>
          <w:szCs w:val="20"/>
        </w:rPr>
      </w:pPr>
      <w:r w:rsidRPr="00382A62">
        <w:rPr>
          <w:rFonts w:cs="Arial"/>
          <w:szCs w:val="20"/>
        </w:rPr>
        <w:t>FIFCO emplea directamente a 5.</w:t>
      </w:r>
      <w:r w:rsidR="000A31F3">
        <w:rPr>
          <w:rFonts w:cs="Arial"/>
          <w:szCs w:val="20"/>
        </w:rPr>
        <w:t>554</w:t>
      </w:r>
      <w:r w:rsidRPr="00382A62">
        <w:rPr>
          <w:rFonts w:cs="Arial"/>
          <w:szCs w:val="20"/>
        </w:rPr>
        <w:t xml:space="preserve"> personas entre personal de planta, distribución, administración y servicio, ya sean fijos, temporales o de medio tiempo. Adicionalmente, miles de personas trabajan en empresas que directa o indirectamente se relacionan con la Compañía.</w:t>
      </w:r>
    </w:p>
    <w:p w14:paraId="0FC4573E" w14:textId="01B0704E" w:rsidR="007605E6" w:rsidRPr="00382A62" w:rsidRDefault="007605E6" w:rsidP="007605E6">
      <w:pPr>
        <w:pStyle w:val="Descripcin"/>
        <w:rPr>
          <w:rFonts w:cs="Arial"/>
          <w:szCs w:val="20"/>
        </w:rPr>
      </w:pPr>
      <w:r w:rsidRPr="00382A62">
        <w:rPr>
          <w:rFonts w:cs="Arial"/>
          <w:szCs w:val="20"/>
        </w:rPr>
        <w:t xml:space="preserve">Tabla </w:t>
      </w:r>
      <w:r w:rsidR="00834FD6">
        <w:rPr>
          <w:rFonts w:cs="Arial"/>
          <w:szCs w:val="20"/>
        </w:rPr>
        <w:t>51</w:t>
      </w:r>
      <w:r w:rsidRPr="00382A62">
        <w:rPr>
          <w:rFonts w:cs="Arial"/>
          <w:szCs w:val="20"/>
        </w:rPr>
        <w:t xml:space="preserve"> - Distribución del personal por país</w:t>
      </w:r>
    </w:p>
    <w:tbl>
      <w:tblPr>
        <w:tblW w:w="474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160"/>
        <w:gridCol w:w="1580"/>
      </w:tblGrid>
      <w:tr w:rsidR="007605E6" w:rsidRPr="00382A62" w14:paraId="24D34C47" w14:textId="77777777" w:rsidTr="007D00B2">
        <w:trPr>
          <w:trHeight w:val="345"/>
          <w:jc w:val="center"/>
        </w:trPr>
        <w:tc>
          <w:tcPr>
            <w:tcW w:w="3160" w:type="dxa"/>
            <w:shd w:val="clear" w:color="auto" w:fill="F2F2F2" w:themeFill="background1" w:themeFillShade="F2"/>
            <w:vAlign w:val="center"/>
            <w:hideMark/>
          </w:tcPr>
          <w:p w14:paraId="7A539A32"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País</w:t>
            </w:r>
          </w:p>
        </w:tc>
        <w:tc>
          <w:tcPr>
            <w:tcW w:w="1580" w:type="dxa"/>
            <w:shd w:val="clear" w:color="auto" w:fill="F2F2F2" w:themeFill="background1" w:themeFillShade="F2"/>
            <w:vAlign w:val="center"/>
            <w:hideMark/>
          </w:tcPr>
          <w:p w14:paraId="744F649A"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Colaboradores</w:t>
            </w:r>
          </w:p>
        </w:tc>
      </w:tr>
      <w:tr w:rsidR="00243D1F" w:rsidRPr="00382A62" w14:paraId="7A5FD2CD" w14:textId="77777777" w:rsidTr="003C2A66">
        <w:trPr>
          <w:trHeight w:val="255"/>
          <w:jc w:val="center"/>
        </w:trPr>
        <w:tc>
          <w:tcPr>
            <w:tcW w:w="3160" w:type="dxa"/>
            <w:shd w:val="clear" w:color="auto" w:fill="FFFFFF" w:themeFill="background1"/>
            <w:noWrap/>
            <w:vAlign w:val="center"/>
          </w:tcPr>
          <w:p w14:paraId="5921FBA9" w14:textId="77777777" w:rsidR="00243D1F" w:rsidRPr="00382A62" w:rsidRDefault="00243D1F" w:rsidP="00243D1F">
            <w:pPr>
              <w:spacing w:line="276" w:lineRule="auto"/>
              <w:contextualSpacing/>
              <w:rPr>
                <w:rFonts w:cs="Arial"/>
                <w:szCs w:val="20"/>
              </w:rPr>
            </w:pPr>
            <w:r w:rsidRPr="00382A62">
              <w:rPr>
                <w:rFonts w:cs="Arial"/>
                <w:szCs w:val="20"/>
              </w:rPr>
              <w:t>Costa Rica</w:t>
            </w:r>
          </w:p>
        </w:tc>
        <w:tc>
          <w:tcPr>
            <w:tcW w:w="1580" w:type="dxa"/>
            <w:shd w:val="clear" w:color="auto" w:fill="FFFFFF" w:themeFill="background1"/>
            <w:noWrap/>
          </w:tcPr>
          <w:p w14:paraId="07C06142" w14:textId="1B6FCC50" w:rsidR="00243D1F" w:rsidRPr="00382A62" w:rsidRDefault="00243D1F" w:rsidP="00243D1F">
            <w:pPr>
              <w:spacing w:line="276" w:lineRule="auto"/>
              <w:contextualSpacing/>
              <w:jc w:val="center"/>
              <w:rPr>
                <w:rFonts w:cs="Arial"/>
                <w:szCs w:val="20"/>
              </w:rPr>
            </w:pPr>
            <w:r w:rsidRPr="00382A62">
              <w:rPr>
                <w:rFonts w:cs="Arial"/>
                <w:szCs w:val="20"/>
              </w:rPr>
              <w:t>4.140</w:t>
            </w:r>
          </w:p>
        </w:tc>
      </w:tr>
      <w:tr w:rsidR="00243D1F" w:rsidRPr="00382A62" w14:paraId="5B141D67" w14:textId="77777777" w:rsidTr="003C2A66">
        <w:trPr>
          <w:trHeight w:val="255"/>
          <w:jc w:val="center"/>
        </w:trPr>
        <w:tc>
          <w:tcPr>
            <w:tcW w:w="3160" w:type="dxa"/>
            <w:shd w:val="clear" w:color="auto" w:fill="FFFFFF" w:themeFill="background1"/>
            <w:noWrap/>
            <w:vAlign w:val="center"/>
          </w:tcPr>
          <w:p w14:paraId="4926FAA8" w14:textId="77777777" w:rsidR="00243D1F" w:rsidRPr="00382A62" w:rsidRDefault="00243D1F" w:rsidP="00243D1F">
            <w:pPr>
              <w:spacing w:line="276" w:lineRule="auto"/>
              <w:contextualSpacing/>
              <w:rPr>
                <w:rFonts w:cs="Arial"/>
                <w:szCs w:val="20"/>
              </w:rPr>
            </w:pPr>
            <w:r w:rsidRPr="00382A62">
              <w:rPr>
                <w:rFonts w:cs="Arial"/>
                <w:szCs w:val="20"/>
              </w:rPr>
              <w:t>Estados Unidos</w:t>
            </w:r>
          </w:p>
        </w:tc>
        <w:tc>
          <w:tcPr>
            <w:tcW w:w="1580" w:type="dxa"/>
            <w:shd w:val="clear" w:color="auto" w:fill="FFFFFF" w:themeFill="background1"/>
            <w:noWrap/>
          </w:tcPr>
          <w:p w14:paraId="776AE65B" w14:textId="690C343B" w:rsidR="00243D1F" w:rsidRPr="00382A62" w:rsidRDefault="00243D1F" w:rsidP="00243D1F">
            <w:pPr>
              <w:spacing w:line="276" w:lineRule="auto"/>
              <w:contextualSpacing/>
              <w:jc w:val="center"/>
              <w:rPr>
                <w:rFonts w:cs="Arial"/>
                <w:szCs w:val="20"/>
              </w:rPr>
            </w:pPr>
            <w:r w:rsidRPr="00382A62">
              <w:rPr>
                <w:rFonts w:cs="Arial"/>
                <w:szCs w:val="20"/>
              </w:rPr>
              <w:t>762</w:t>
            </w:r>
          </w:p>
        </w:tc>
      </w:tr>
      <w:tr w:rsidR="00243D1F" w:rsidRPr="00382A62" w14:paraId="14D557F6" w14:textId="77777777" w:rsidTr="003C2A66">
        <w:trPr>
          <w:trHeight w:val="255"/>
          <w:jc w:val="center"/>
        </w:trPr>
        <w:tc>
          <w:tcPr>
            <w:tcW w:w="3160" w:type="dxa"/>
            <w:shd w:val="clear" w:color="auto" w:fill="FFFFFF" w:themeFill="background1"/>
            <w:noWrap/>
            <w:vAlign w:val="center"/>
          </w:tcPr>
          <w:p w14:paraId="2DB8EB6F" w14:textId="77777777" w:rsidR="00243D1F" w:rsidRPr="00382A62" w:rsidRDefault="00243D1F" w:rsidP="00243D1F">
            <w:pPr>
              <w:spacing w:line="276" w:lineRule="auto"/>
              <w:contextualSpacing/>
              <w:rPr>
                <w:rFonts w:cs="Arial"/>
                <w:szCs w:val="20"/>
              </w:rPr>
            </w:pPr>
            <w:r w:rsidRPr="00382A62">
              <w:rPr>
                <w:rFonts w:cs="Arial"/>
                <w:szCs w:val="20"/>
              </w:rPr>
              <w:t>Guatemala – El Salvador-México</w:t>
            </w:r>
          </w:p>
        </w:tc>
        <w:tc>
          <w:tcPr>
            <w:tcW w:w="1580" w:type="dxa"/>
            <w:shd w:val="clear" w:color="auto" w:fill="FFFFFF" w:themeFill="background1"/>
            <w:noWrap/>
          </w:tcPr>
          <w:p w14:paraId="2A2CD432" w14:textId="73E3E857" w:rsidR="00243D1F" w:rsidRPr="00382A62" w:rsidRDefault="00243D1F" w:rsidP="00243D1F">
            <w:pPr>
              <w:spacing w:line="276" w:lineRule="auto"/>
              <w:contextualSpacing/>
              <w:jc w:val="center"/>
              <w:rPr>
                <w:rFonts w:cs="Arial"/>
                <w:szCs w:val="20"/>
              </w:rPr>
            </w:pPr>
            <w:r w:rsidRPr="00382A62">
              <w:rPr>
                <w:rFonts w:cs="Arial"/>
                <w:szCs w:val="20"/>
              </w:rPr>
              <w:t>652</w:t>
            </w:r>
          </w:p>
        </w:tc>
      </w:tr>
      <w:tr w:rsidR="00243D1F" w:rsidRPr="00382A62" w14:paraId="1CF2E4AC" w14:textId="77777777" w:rsidTr="003C2A66">
        <w:trPr>
          <w:trHeight w:val="270"/>
          <w:jc w:val="center"/>
        </w:trPr>
        <w:tc>
          <w:tcPr>
            <w:tcW w:w="3160" w:type="dxa"/>
            <w:shd w:val="clear" w:color="auto" w:fill="FFFFFF" w:themeFill="background1"/>
            <w:vAlign w:val="center"/>
            <w:hideMark/>
          </w:tcPr>
          <w:p w14:paraId="579C2B05" w14:textId="77777777" w:rsidR="00243D1F" w:rsidRPr="00382A62" w:rsidRDefault="00243D1F" w:rsidP="00243D1F">
            <w:pPr>
              <w:spacing w:line="276" w:lineRule="auto"/>
              <w:contextualSpacing/>
              <w:rPr>
                <w:rFonts w:cs="Arial"/>
                <w:b/>
                <w:bCs/>
                <w:szCs w:val="20"/>
              </w:rPr>
            </w:pPr>
            <w:r w:rsidRPr="00382A62">
              <w:rPr>
                <w:rFonts w:cs="Arial"/>
                <w:b/>
                <w:bCs/>
                <w:szCs w:val="20"/>
              </w:rPr>
              <w:t>Total, Empleados</w:t>
            </w:r>
          </w:p>
        </w:tc>
        <w:tc>
          <w:tcPr>
            <w:tcW w:w="1580" w:type="dxa"/>
            <w:shd w:val="clear" w:color="auto" w:fill="FFFFFF" w:themeFill="background1"/>
            <w:noWrap/>
            <w:hideMark/>
          </w:tcPr>
          <w:p w14:paraId="1D2B3091" w14:textId="268FA236" w:rsidR="00243D1F" w:rsidRPr="00382A62" w:rsidRDefault="00243D1F" w:rsidP="00243D1F">
            <w:pPr>
              <w:spacing w:line="276" w:lineRule="auto"/>
              <w:contextualSpacing/>
              <w:jc w:val="center"/>
              <w:rPr>
                <w:rFonts w:cs="Arial"/>
                <w:b/>
                <w:bCs/>
                <w:szCs w:val="20"/>
              </w:rPr>
            </w:pPr>
            <w:r w:rsidRPr="00382A62">
              <w:rPr>
                <w:rFonts w:cs="Arial"/>
                <w:b/>
                <w:bCs/>
                <w:szCs w:val="20"/>
              </w:rPr>
              <w:t>5.554</w:t>
            </w:r>
          </w:p>
        </w:tc>
      </w:tr>
    </w:tbl>
    <w:p w14:paraId="2D3B6497" w14:textId="77777777" w:rsidR="007605E6" w:rsidRPr="00382A62" w:rsidRDefault="007605E6" w:rsidP="007605E6">
      <w:pPr>
        <w:rPr>
          <w:rFonts w:cs="Arial"/>
          <w:szCs w:val="20"/>
        </w:rPr>
      </w:pPr>
    </w:p>
    <w:p w14:paraId="790A15D1" w14:textId="77777777" w:rsidR="00C55BEC" w:rsidRDefault="00C55BEC" w:rsidP="007605E6">
      <w:pPr>
        <w:rPr>
          <w:rFonts w:cs="Arial"/>
          <w:szCs w:val="20"/>
        </w:rPr>
      </w:pPr>
    </w:p>
    <w:p w14:paraId="30B52DEA" w14:textId="77777777" w:rsidR="00C55BEC" w:rsidRDefault="00C55BEC" w:rsidP="007605E6">
      <w:pPr>
        <w:rPr>
          <w:rFonts w:cs="Arial"/>
          <w:szCs w:val="20"/>
        </w:rPr>
      </w:pPr>
    </w:p>
    <w:p w14:paraId="2846F5FC" w14:textId="77777777" w:rsidR="00C55BEC" w:rsidRDefault="00C55BEC" w:rsidP="007605E6">
      <w:pPr>
        <w:rPr>
          <w:rFonts w:cs="Arial"/>
          <w:szCs w:val="20"/>
        </w:rPr>
      </w:pPr>
    </w:p>
    <w:p w14:paraId="5A8EC0FB" w14:textId="31AF2C65" w:rsidR="007605E6" w:rsidRPr="00382A62" w:rsidRDefault="007605E6" w:rsidP="007605E6">
      <w:pPr>
        <w:rPr>
          <w:rFonts w:cs="Arial"/>
          <w:szCs w:val="20"/>
        </w:rPr>
      </w:pPr>
      <w:r w:rsidRPr="00382A62">
        <w:rPr>
          <w:rFonts w:cs="Arial"/>
          <w:szCs w:val="20"/>
        </w:rPr>
        <w:lastRenderedPageBreak/>
        <w:t>En FIFCO Costa Rica los colaboradores están organizados en Asociaciones Solidaristas, que cuenta con el apoyo total de la Compañía y que rinde grandes beneficios a sus asociados. A continuación, se detalla su porcentaje de afiliación:</w:t>
      </w:r>
    </w:p>
    <w:p w14:paraId="318E4C01" w14:textId="39486504" w:rsidR="007605E6" w:rsidRPr="00382A62" w:rsidRDefault="007605E6" w:rsidP="007605E6">
      <w:pPr>
        <w:pStyle w:val="Descripcin"/>
        <w:rPr>
          <w:rFonts w:cs="Arial"/>
          <w:szCs w:val="20"/>
        </w:rPr>
      </w:pPr>
      <w:r w:rsidRPr="00382A62">
        <w:rPr>
          <w:rFonts w:cs="Arial"/>
          <w:szCs w:val="20"/>
        </w:rPr>
        <w:t xml:space="preserve">Tabla </w:t>
      </w:r>
      <w:r w:rsidR="00834FD6">
        <w:rPr>
          <w:rFonts w:cs="Arial"/>
          <w:szCs w:val="20"/>
        </w:rPr>
        <w:t>52</w:t>
      </w:r>
      <w:r w:rsidRPr="00382A62">
        <w:rPr>
          <w:rFonts w:cs="Arial"/>
          <w:szCs w:val="20"/>
        </w:rPr>
        <w:t xml:space="preserve"> - Porcentaje de colaboradores afiliados a Asociaciones Solidaristas</w:t>
      </w:r>
    </w:p>
    <w:tbl>
      <w:tblPr>
        <w:tblW w:w="821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717"/>
        <w:gridCol w:w="2500"/>
      </w:tblGrid>
      <w:tr w:rsidR="007605E6" w:rsidRPr="00382A62" w14:paraId="265AB77E" w14:textId="77777777" w:rsidTr="007D00B2">
        <w:trPr>
          <w:trHeight w:val="345"/>
          <w:jc w:val="center"/>
        </w:trPr>
        <w:tc>
          <w:tcPr>
            <w:tcW w:w="5717" w:type="dxa"/>
            <w:shd w:val="clear" w:color="auto" w:fill="F2F2F2" w:themeFill="background1" w:themeFillShade="F2"/>
            <w:vAlign w:val="center"/>
            <w:hideMark/>
          </w:tcPr>
          <w:p w14:paraId="3B068EA4"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Asociación Solidarista</w:t>
            </w:r>
          </w:p>
        </w:tc>
        <w:tc>
          <w:tcPr>
            <w:tcW w:w="2500" w:type="dxa"/>
            <w:shd w:val="clear" w:color="auto" w:fill="F2F2F2" w:themeFill="background1" w:themeFillShade="F2"/>
            <w:vAlign w:val="center"/>
            <w:hideMark/>
          </w:tcPr>
          <w:p w14:paraId="059AFFF9"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Porcentaje de Colaboradores</w:t>
            </w:r>
          </w:p>
        </w:tc>
      </w:tr>
      <w:tr w:rsidR="007605E6" w:rsidRPr="00382A62" w14:paraId="5FBAB8D4" w14:textId="77777777" w:rsidTr="007D00B2">
        <w:trPr>
          <w:trHeight w:val="255"/>
          <w:jc w:val="center"/>
        </w:trPr>
        <w:tc>
          <w:tcPr>
            <w:tcW w:w="5717" w:type="dxa"/>
            <w:shd w:val="clear" w:color="auto" w:fill="FFFFFF" w:themeFill="background1"/>
            <w:noWrap/>
            <w:vAlign w:val="center"/>
            <w:hideMark/>
          </w:tcPr>
          <w:p w14:paraId="013E33EB" w14:textId="77777777" w:rsidR="007605E6" w:rsidRPr="00382A62" w:rsidRDefault="007605E6" w:rsidP="007D00B2">
            <w:pPr>
              <w:spacing w:line="276" w:lineRule="auto"/>
              <w:contextualSpacing/>
              <w:rPr>
                <w:rFonts w:cs="Arial"/>
                <w:szCs w:val="20"/>
              </w:rPr>
            </w:pPr>
            <w:r w:rsidRPr="00382A62">
              <w:rPr>
                <w:rFonts w:cs="Arial"/>
                <w:szCs w:val="20"/>
              </w:rPr>
              <w:t xml:space="preserve">Asociación Solidarista de Empleados de Reserva Conchal y Afines </w:t>
            </w:r>
          </w:p>
          <w:p w14:paraId="4A5A7B5D" w14:textId="77777777" w:rsidR="007605E6" w:rsidRPr="00382A62" w:rsidRDefault="007605E6" w:rsidP="007D00B2">
            <w:pPr>
              <w:spacing w:line="276" w:lineRule="auto"/>
              <w:contextualSpacing/>
              <w:rPr>
                <w:rFonts w:cs="Arial"/>
                <w:szCs w:val="20"/>
              </w:rPr>
            </w:pPr>
            <w:r w:rsidRPr="00382A62">
              <w:rPr>
                <w:rFonts w:cs="Arial"/>
                <w:szCs w:val="20"/>
              </w:rPr>
              <w:t>(ASORESERVA)</w:t>
            </w:r>
          </w:p>
        </w:tc>
        <w:tc>
          <w:tcPr>
            <w:tcW w:w="2500" w:type="dxa"/>
            <w:shd w:val="clear" w:color="auto" w:fill="FFFFFF" w:themeFill="background1"/>
            <w:noWrap/>
            <w:vAlign w:val="center"/>
            <w:hideMark/>
          </w:tcPr>
          <w:p w14:paraId="0C3B7316" w14:textId="558FDE17" w:rsidR="007605E6" w:rsidRPr="00382A62" w:rsidRDefault="00910DB5" w:rsidP="007D00B2">
            <w:pPr>
              <w:spacing w:line="276" w:lineRule="auto"/>
              <w:contextualSpacing/>
              <w:jc w:val="center"/>
              <w:rPr>
                <w:rFonts w:cs="Arial"/>
                <w:szCs w:val="20"/>
              </w:rPr>
            </w:pPr>
            <w:r w:rsidRPr="00382A62">
              <w:rPr>
                <w:rFonts w:cs="Arial"/>
                <w:szCs w:val="20"/>
              </w:rPr>
              <w:t>69</w:t>
            </w:r>
            <w:r w:rsidR="007605E6" w:rsidRPr="00382A62">
              <w:rPr>
                <w:rFonts w:cs="Arial"/>
                <w:szCs w:val="20"/>
              </w:rPr>
              <w:t>,00%</w:t>
            </w:r>
          </w:p>
        </w:tc>
      </w:tr>
      <w:tr w:rsidR="007605E6" w:rsidRPr="00382A62" w14:paraId="02518183" w14:textId="77777777" w:rsidTr="007D00B2">
        <w:trPr>
          <w:trHeight w:val="255"/>
          <w:jc w:val="center"/>
        </w:trPr>
        <w:tc>
          <w:tcPr>
            <w:tcW w:w="5717" w:type="dxa"/>
            <w:shd w:val="clear" w:color="auto" w:fill="FFFFFF" w:themeFill="background1"/>
            <w:noWrap/>
            <w:vAlign w:val="center"/>
            <w:hideMark/>
          </w:tcPr>
          <w:p w14:paraId="195192CE" w14:textId="77777777" w:rsidR="007605E6" w:rsidRPr="00382A62" w:rsidRDefault="007605E6" w:rsidP="007D00B2">
            <w:pPr>
              <w:spacing w:line="276" w:lineRule="auto"/>
              <w:contextualSpacing/>
              <w:rPr>
                <w:rFonts w:cs="Arial"/>
                <w:szCs w:val="20"/>
              </w:rPr>
            </w:pPr>
            <w:r w:rsidRPr="00382A62">
              <w:rPr>
                <w:rFonts w:cs="Arial"/>
                <w:szCs w:val="20"/>
              </w:rPr>
              <w:t>Asociación Solidarista de Empleados de Panificadora Nacional</w:t>
            </w:r>
          </w:p>
          <w:p w14:paraId="6979B0FD" w14:textId="77777777" w:rsidR="007605E6" w:rsidRPr="00382A62" w:rsidRDefault="007605E6" w:rsidP="007D00B2">
            <w:pPr>
              <w:spacing w:line="276" w:lineRule="auto"/>
              <w:contextualSpacing/>
              <w:rPr>
                <w:rFonts w:cs="Arial"/>
                <w:szCs w:val="20"/>
              </w:rPr>
            </w:pPr>
            <w:r w:rsidRPr="00382A62">
              <w:rPr>
                <w:rFonts w:cs="Arial"/>
                <w:szCs w:val="20"/>
              </w:rPr>
              <w:t>(ASEPAN)</w:t>
            </w:r>
          </w:p>
        </w:tc>
        <w:tc>
          <w:tcPr>
            <w:tcW w:w="2500" w:type="dxa"/>
            <w:shd w:val="clear" w:color="auto" w:fill="FFFFFF" w:themeFill="background1"/>
            <w:noWrap/>
            <w:vAlign w:val="center"/>
            <w:hideMark/>
          </w:tcPr>
          <w:p w14:paraId="7C87D709" w14:textId="5BD1EFF1" w:rsidR="007605E6" w:rsidRPr="00382A62" w:rsidRDefault="00910DB5" w:rsidP="007D00B2">
            <w:pPr>
              <w:spacing w:line="276" w:lineRule="auto"/>
              <w:contextualSpacing/>
              <w:jc w:val="center"/>
              <w:rPr>
                <w:rFonts w:cs="Arial"/>
                <w:szCs w:val="20"/>
              </w:rPr>
            </w:pPr>
            <w:r w:rsidRPr="00382A62">
              <w:rPr>
                <w:rFonts w:cs="Arial"/>
                <w:szCs w:val="20"/>
              </w:rPr>
              <w:t>71</w:t>
            </w:r>
            <w:r w:rsidR="007605E6" w:rsidRPr="00382A62">
              <w:rPr>
                <w:rFonts w:cs="Arial"/>
                <w:szCs w:val="20"/>
              </w:rPr>
              <w:t>,82%</w:t>
            </w:r>
          </w:p>
        </w:tc>
      </w:tr>
      <w:tr w:rsidR="007605E6" w:rsidRPr="00382A62" w14:paraId="5CA30E21" w14:textId="77777777" w:rsidTr="007D00B2">
        <w:trPr>
          <w:trHeight w:val="255"/>
          <w:jc w:val="center"/>
        </w:trPr>
        <w:tc>
          <w:tcPr>
            <w:tcW w:w="5717" w:type="dxa"/>
            <w:shd w:val="clear" w:color="auto" w:fill="FFFFFF" w:themeFill="background1"/>
            <w:noWrap/>
            <w:vAlign w:val="center"/>
            <w:hideMark/>
          </w:tcPr>
          <w:p w14:paraId="0BE24134" w14:textId="77777777" w:rsidR="007605E6" w:rsidRPr="00382A62" w:rsidRDefault="007605E6" w:rsidP="007D00B2">
            <w:pPr>
              <w:spacing w:line="276" w:lineRule="auto"/>
              <w:contextualSpacing/>
              <w:rPr>
                <w:rFonts w:cs="Arial"/>
                <w:szCs w:val="20"/>
              </w:rPr>
            </w:pPr>
            <w:r w:rsidRPr="00382A62">
              <w:rPr>
                <w:rFonts w:cs="Arial"/>
                <w:szCs w:val="20"/>
              </w:rPr>
              <w:t>Asociación Solidarista de Empleados de Florida Ice &amp; Farm Co., S.A. y Afines (ASOFLORIDA)</w:t>
            </w:r>
          </w:p>
        </w:tc>
        <w:tc>
          <w:tcPr>
            <w:tcW w:w="2500" w:type="dxa"/>
            <w:shd w:val="clear" w:color="auto" w:fill="FFFFFF" w:themeFill="background1"/>
            <w:noWrap/>
            <w:vAlign w:val="center"/>
            <w:hideMark/>
          </w:tcPr>
          <w:p w14:paraId="01EC2DBB" w14:textId="661245D2" w:rsidR="007605E6" w:rsidRPr="00382A62" w:rsidRDefault="00910DB5" w:rsidP="007D00B2">
            <w:pPr>
              <w:spacing w:line="276" w:lineRule="auto"/>
              <w:contextualSpacing/>
              <w:jc w:val="center"/>
              <w:rPr>
                <w:rFonts w:cs="Arial"/>
                <w:szCs w:val="20"/>
              </w:rPr>
            </w:pPr>
            <w:r w:rsidRPr="00382A62">
              <w:rPr>
                <w:rFonts w:cs="Arial"/>
                <w:szCs w:val="20"/>
              </w:rPr>
              <w:t>64</w:t>
            </w:r>
            <w:r w:rsidR="007605E6" w:rsidRPr="00382A62">
              <w:rPr>
                <w:rFonts w:cs="Arial"/>
                <w:szCs w:val="20"/>
              </w:rPr>
              <w:t>,00%</w:t>
            </w:r>
          </w:p>
        </w:tc>
      </w:tr>
    </w:tbl>
    <w:p w14:paraId="010BB23E" w14:textId="77777777" w:rsidR="001A57C1" w:rsidRPr="00382A62" w:rsidRDefault="001A57C1" w:rsidP="001A57C1">
      <w:pPr>
        <w:pStyle w:val="Ttulo2"/>
        <w:rPr>
          <w:rFonts w:cs="Arial"/>
          <w:sz w:val="20"/>
          <w:szCs w:val="20"/>
        </w:rPr>
      </w:pPr>
      <w:bookmarkStart w:id="275" w:name="_Toc131092928"/>
      <w:bookmarkStart w:id="276" w:name="_Toc131501129"/>
    </w:p>
    <w:p w14:paraId="1B550E80" w14:textId="40B87FCD" w:rsidR="007605E6" w:rsidRPr="00382A62" w:rsidRDefault="007605E6" w:rsidP="007605E6">
      <w:pPr>
        <w:pStyle w:val="Ttulo2"/>
        <w:numPr>
          <w:ilvl w:val="0"/>
          <w:numId w:val="12"/>
        </w:numPr>
        <w:rPr>
          <w:rFonts w:cs="Arial"/>
          <w:sz w:val="20"/>
          <w:szCs w:val="20"/>
        </w:rPr>
      </w:pPr>
      <w:bookmarkStart w:id="277" w:name="_Toc169624688"/>
      <w:r w:rsidRPr="00382A62">
        <w:rPr>
          <w:rFonts w:cs="Arial"/>
          <w:sz w:val="20"/>
          <w:szCs w:val="20"/>
        </w:rPr>
        <w:t>Participación social de directores</w:t>
      </w:r>
      <w:r w:rsidR="00BA4F94" w:rsidRPr="00382A62">
        <w:rPr>
          <w:rFonts w:cs="Arial"/>
          <w:sz w:val="20"/>
          <w:szCs w:val="20"/>
        </w:rPr>
        <w:t>,</w:t>
      </w:r>
      <w:r w:rsidRPr="00382A62">
        <w:rPr>
          <w:rFonts w:cs="Arial"/>
          <w:sz w:val="20"/>
          <w:szCs w:val="20"/>
        </w:rPr>
        <w:t xml:space="preserve"> personal gerencial y empleados</w:t>
      </w:r>
      <w:bookmarkEnd w:id="275"/>
      <w:bookmarkEnd w:id="276"/>
      <w:bookmarkEnd w:id="277"/>
    </w:p>
    <w:p w14:paraId="67DFFA3C" w14:textId="046A38C0" w:rsidR="007605E6" w:rsidRPr="00382A62" w:rsidRDefault="007605E6" w:rsidP="007605E6">
      <w:pPr>
        <w:rPr>
          <w:rFonts w:cs="Arial"/>
          <w:szCs w:val="20"/>
        </w:rPr>
      </w:pPr>
      <w:r w:rsidRPr="00382A62">
        <w:rPr>
          <w:rFonts w:cs="Arial"/>
          <w:szCs w:val="20"/>
        </w:rPr>
        <w:t>Al 31 de diciembre de 202</w:t>
      </w:r>
      <w:r w:rsidR="006D459A">
        <w:rPr>
          <w:rFonts w:cs="Arial"/>
          <w:szCs w:val="20"/>
        </w:rPr>
        <w:t>3</w:t>
      </w:r>
      <w:r w:rsidR="00BA4F94" w:rsidRPr="00382A62">
        <w:rPr>
          <w:rFonts w:cs="Arial"/>
          <w:szCs w:val="20"/>
        </w:rPr>
        <w:t>,</w:t>
      </w:r>
      <w:r w:rsidRPr="00382A62">
        <w:rPr>
          <w:rFonts w:cs="Arial"/>
          <w:szCs w:val="20"/>
        </w:rPr>
        <w:t xml:space="preserve"> los empleados de FIFCO a través de la Asociación Solidarista de Empleados (ASOFLORIDA</w:t>
      </w:r>
      <w:r w:rsidR="00E43718" w:rsidRPr="00382A62">
        <w:rPr>
          <w:rFonts w:cs="Arial"/>
          <w:szCs w:val="20"/>
        </w:rPr>
        <w:t>,</w:t>
      </w:r>
      <w:r w:rsidRPr="00382A62">
        <w:rPr>
          <w:rFonts w:cs="Arial"/>
          <w:szCs w:val="20"/>
        </w:rPr>
        <w:t xml:space="preserve"> S.A.) tienen una participación de 0.4</w:t>
      </w:r>
      <w:r w:rsidR="00D5229C">
        <w:rPr>
          <w:rFonts w:cs="Arial"/>
          <w:szCs w:val="20"/>
        </w:rPr>
        <w:t>1</w:t>
      </w:r>
      <w:r w:rsidRPr="00382A62">
        <w:rPr>
          <w:rFonts w:cs="Arial"/>
          <w:szCs w:val="20"/>
        </w:rPr>
        <w:t>% del capital accionario total.</w:t>
      </w:r>
    </w:p>
    <w:p w14:paraId="168FC54A" w14:textId="0796AABC" w:rsidR="007605E6" w:rsidRPr="00382A62" w:rsidRDefault="007605E6" w:rsidP="007605E6">
      <w:pPr>
        <w:rPr>
          <w:rFonts w:cs="Arial"/>
          <w:szCs w:val="20"/>
        </w:rPr>
      </w:pPr>
      <w:r w:rsidRPr="00382A62">
        <w:rPr>
          <w:rFonts w:cs="Arial"/>
          <w:szCs w:val="20"/>
        </w:rPr>
        <w:t>Por su participación directa en acciones de FIFCO</w:t>
      </w:r>
      <w:r w:rsidR="00784359" w:rsidRPr="00382A62">
        <w:rPr>
          <w:rFonts w:cs="Arial"/>
          <w:szCs w:val="20"/>
        </w:rPr>
        <w:t>,</w:t>
      </w:r>
      <w:r w:rsidRPr="00382A62">
        <w:rPr>
          <w:rFonts w:cs="Arial"/>
          <w:szCs w:val="20"/>
        </w:rPr>
        <w:t xml:space="preserve"> los miembros de la Junta Directiva poseen en su conjunto una participación del 0.</w:t>
      </w:r>
      <w:r w:rsidR="00AB4CAC">
        <w:rPr>
          <w:rFonts w:cs="Arial"/>
          <w:szCs w:val="20"/>
        </w:rPr>
        <w:t>13</w:t>
      </w:r>
      <w:r w:rsidRPr="00382A62">
        <w:rPr>
          <w:rFonts w:cs="Arial"/>
          <w:szCs w:val="20"/>
        </w:rPr>
        <w:t xml:space="preserve">% del capital accionario total. </w:t>
      </w:r>
    </w:p>
    <w:p w14:paraId="2490542B" w14:textId="416686DD" w:rsidR="007605E6" w:rsidRPr="00382A62" w:rsidRDefault="007605E6" w:rsidP="007605E6">
      <w:pPr>
        <w:rPr>
          <w:rFonts w:cs="Arial"/>
          <w:szCs w:val="20"/>
        </w:rPr>
      </w:pPr>
      <w:r w:rsidRPr="00382A62">
        <w:rPr>
          <w:rFonts w:cs="Arial"/>
          <w:szCs w:val="20"/>
        </w:rPr>
        <w:t>En lo que se refiere al personal gerencial de la Compañía su participación es de 0.3% del capital accionario total.</w:t>
      </w:r>
    </w:p>
    <w:p w14:paraId="4FF9B682" w14:textId="3730BCB7" w:rsidR="007605E6" w:rsidRPr="00382A62" w:rsidRDefault="007605E6" w:rsidP="007605E6">
      <w:pPr>
        <w:rPr>
          <w:rFonts w:cs="Arial"/>
          <w:szCs w:val="20"/>
        </w:rPr>
      </w:pPr>
      <w:r w:rsidRPr="00382A62">
        <w:rPr>
          <w:rFonts w:cs="Arial"/>
          <w:szCs w:val="20"/>
        </w:rPr>
        <w:t>En los estatutos de FIFCO no se ha dispuesto un derecho de voto diferente</w:t>
      </w:r>
      <w:r w:rsidR="00784359" w:rsidRPr="00382A62">
        <w:rPr>
          <w:rFonts w:cs="Arial"/>
          <w:szCs w:val="20"/>
        </w:rPr>
        <w:t>,</w:t>
      </w:r>
      <w:r w:rsidRPr="00382A62">
        <w:rPr>
          <w:rFonts w:cs="Arial"/>
          <w:szCs w:val="20"/>
        </w:rPr>
        <w:t xml:space="preserve"> ni de suscripción preferente o de opciones sobre acciones ni de restricciones con respecto a directores</w:t>
      </w:r>
      <w:r w:rsidR="00784359" w:rsidRPr="00382A62">
        <w:rPr>
          <w:rFonts w:cs="Arial"/>
          <w:szCs w:val="20"/>
        </w:rPr>
        <w:t>,</w:t>
      </w:r>
      <w:r w:rsidRPr="00382A62">
        <w:rPr>
          <w:rFonts w:cs="Arial"/>
          <w:szCs w:val="20"/>
        </w:rPr>
        <w:t xml:space="preserve"> personal gerencial o empleados.</w:t>
      </w:r>
    </w:p>
    <w:p w14:paraId="028EA721" w14:textId="0E917CB4" w:rsidR="00071E9B" w:rsidRPr="00382A62" w:rsidRDefault="007605E6" w:rsidP="00D90583">
      <w:pPr>
        <w:rPr>
          <w:rFonts w:cs="Arial"/>
          <w:szCs w:val="20"/>
        </w:rPr>
      </w:pPr>
      <w:r w:rsidRPr="00382A62">
        <w:rPr>
          <w:rFonts w:cs="Arial"/>
          <w:szCs w:val="20"/>
        </w:rPr>
        <w:t>Además</w:t>
      </w:r>
      <w:r w:rsidR="00530F0C" w:rsidRPr="00382A62">
        <w:rPr>
          <w:rFonts w:cs="Arial"/>
          <w:szCs w:val="20"/>
        </w:rPr>
        <w:t xml:space="preserve">, </w:t>
      </w:r>
      <w:r w:rsidRPr="00382A62">
        <w:rPr>
          <w:rFonts w:cs="Arial"/>
          <w:szCs w:val="20"/>
        </w:rPr>
        <w:t>dichos estatutos no contemplan la suscripción de contratos con los miembros de la Junta Directiva a partir de sus nombramientos</w:t>
      </w:r>
      <w:r w:rsidR="00530F0C" w:rsidRPr="00382A62">
        <w:rPr>
          <w:rFonts w:cs="Arial"/>
          <w:szCs w:val="20"/>
        </w:rPr>
        <w:t>,</w:t>
      </w:r>
      <w:r w:rsidRPr="00382A62">
        <w:rPr>
          <w:rFonts w:cs="Arial"/>
          <w:szCs w:val="20"/>
        </w:rPr>
        <w:t xml:space="preserve"> ni existen disposiciones referentes a la adquisición de beneficios</w:t>
      </w:r>
      <w:r w:rsidR="00AA4276" w:rsidRPr="00382A62">
        <w:rPr>
          <w:rFonts w:cs="Arial"/>
          <w:szCs w:val="20"/>
        </w:rPr>
        <w:t>,</w:t>
      </w:r>
      <w:r w:rsidRPr="00382A62">
        <w:rPr>
          <w:rFonts w:cs="Arial"/>
          <w:szCs w:val="20"/>
        </w:rPr>
        <w:t xml:space="preserve"> una vez que concluye el periodo de nombramiento.</w:t>
      </w:r>
    </w:p>
    <w:p w14:paraId="7E69C201" w14:textId="77777777" w:rsidR="00071E9B" w:rsidRPr="00382A62" w:rsidRDefault="00071E9B">
      <w:pPr>
        <w:spacing w:line="259" w:lineRule="auto"/>
        <w:jc w:val="left"/>
        <w:rPr>
          <w:rFonts w:cs="Arial"/>
          <w:szCs w:val="20"/>
        </w:rPr>
      </w:pPr>
      <w:r w:rsidRPr="00382A62">
        <w:rPr>
          <w:rFonts w:cs="Arial"/>
          <w:szCs w:val="20"/>
        </w:rPr>
        <w:br w:type="page"/>
      </w:r>
    </w:p>
    <w:p w14:paraId="40BC3030" w14:textId="11E842B7" w:rsidR="00E553C8" w:rsidRPr="00382A62" w:rsidRDefault="00895152" w:rsidP="00D90583">
      <w:pPr>
        <w:rPr>
          <w:rFonts w:cs="Arial"/>
          <w:szCs w:val="20"/>
        </w:rPr>
      </w:pPr>
      <w:r w:rsidRPr="00382A62">
        <w:rPr>
          <w:rFonts w:cs="Arial"/>
          <w:noProof/>
          <w:szCs w:val="20"/>
        </w:rPr>
        <w:lastRenderedPageBreak/>
        <w:drawing>
          <wp:anchor distT="0" distB="0" distL="114300" distR="114300" simplePos="0" relativeHeight="251702272" behindDoc="0" locked="0" layoutInCell="1" allowOverlap="1" wp14:anchorId="64680355" wp14:editId="4752A583">
            <wp:simplePos x="0" y="0"/>
            <wp:positionH relativeFrom="page">
              <wp:align>left</wp:align>
            </wp:positionH>
            <wp:positionV relativeFrom="paragraph">
              <wp:posOffset>-887104</wp:posOffset>
            </wp:positionV>
            <wp:extent cx="7787106" cy="10017456"/>
            <wp:effectExtent l="0" t="0" r="4445"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94840" cy="10027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4E8CCB" w14:textId="214E9662" w:rsidR="00E553C8" w:rsidRPr="00382A62" w:rsidRDefault="00E553C8" w:rsidP="00E553C8">
      <w:pPr>
        <w:pStyle w:val="Ttulo1"/>
        <w:rPr>
          <w:rFonts w:cs="Arial"/>
          <w:color w:val="auto"/>
          <w:sz w:val="20"/>
          <w:szCs w:val="20"/>
        </w:rPr>
      </w:pPr>
      <w:bookmarkStart w:id="278" w:name="_Toc131501130"/>
      <w:bookmarkStart w:id="279" w:name="_Toc169624689"/>
      <w:r w:rsidRPr="00382A62">
        <w:rPr>
          <w:rFonts w:cs="Arial"/>
          <w:color w:val="auto"/>
          <w:sz w:val="20"/>
          <w:szCs w:val="20"/>
        </w:rPr>
        <w:t xml:space="preserve">Capítulo </w:t>
      </w:r>
      <w:r w:rsidR="00AC3127" w:rsidRPr="00382A62">
        <w:rPr>
          <w:rFonts w:cs="Arial"/>
          <w:color w:val="auto"/>
          <w:sz w:val="20"/>
          <w:szCs w:val="20"/>
        </w:rPr>
        <w:t>6</w:t>
      </w:r>
      <w:r w:rsidRPr="00382A62">
        <w:rPr>
          <w:rFonts w:cs="Arial"/>
          <w:color w:val="auto"/>
          <w:sz w:val="20"/>
          <w:szCs w:val="20"/>
        </w:rPr>
        <w:t>.</w:t>
      </w:r>
      <w:bookmarkEnd w:id="278"/>
      <w:bookmarkEnd w:id="279"/>
    </w:p>
    <w:p w14:paraId="127C35AB" w14:textId="77777777" w:rsidR="00523D17" w:rsidRPr="00382A62" w:rsidRDefault="00E553C8" w:rsidP="00E553C8">
      <w:pPr>
        <w:pStyle w:val="Ttulo1"/>
        <w:rPr>
          <w:rFonts w:cs="Arial"/>
          <w:color w:val="auto"/>
          <w:sz w:val="20"/>
          <w:szCs w:val="20"/>
        </w:rPr>
      </w:pPr>
      <w:bookmarkStart w:id="280" w:name="_Toc131501131"/>
      <w:bookmarkStart w:id="281" w:name="_Toc169624690"/>
      <w:r w:rsidRPr="00382A62">
        <w:rPr>
          <w:rFonts w:cs="Arial"/>
          <w:color w:val="auto"/>
          <w:sz w:val="20"/>
          <w:szCs w:val="20"/>
        </w:rPr>
        <w:t>P</w:t>
      </w:r>
      <w:r w:rsidR="00141EBB" w:rsidRPr="00382A62">
        <w:rPr>
          <w:rFonts w:cs="Arial"/>
          <w:color w:val="auto"/>
          <w:sz w:val="20"/>
          <w:szCs w:val="20"/>
        </w:rPr>
        <w:t>articipaciones significativas y transacciones con partes relacionadas</w:t>
      </w:r>
      <w:bookmarkEnd w:id="280"/>
      <w:bookmarkEnd w:id="281"/>
    </w:p>
    <w:p w14:paraId="4223A681" w14:textId="1879C0DB" w:rsidR="00D8081C" w:rsidRPr="00382A62" w:rsidRDefault="00D8081C">
      <w:pPr>
        <w:spacing w:line="259" w:lineRule="auto"/>
        <w:jc w:val="left"/>
        <w:rPr>
          <w:rFonts w:cs="Arial"/>
          <w:szCs w:val="20"/>
        </w:rPr>
      </w:pPr>
      <w:r w:rsidRPr="00382A62">
        <w:rPr>
          <w:rFonts w:cs="Arial"/>
          <w:szCs w:val="20"/>
        </w:rPr>
        <w:br w:type="page"/>
      </w:r>
    </w:p>
    <w:p w14:paraId="24CF0C12" w14:textId="2540B0AD" w:rsidR="007605E6" w:rsidRPr="00382A62" w:rsidRDefault="007605E6" w:rsidP="007605E6">
      <w:pPr>
        <w:pStyle w:val="Ttulo2"/>
        <w:numPr>
          <w:ilvl w:val="0"/>
          <w:numId w:val="13"/>
        </w:numPr>
        <w:rPr>
          <w:rFonts w:cs="Arial"/>
          <w:sz w:val="20"/>
          <w:szCs w:val="20"/>
        </w:rPr>
      </w:pPr>
      <w:bookmarkStart w:id="282" w:name="_Toc131092931"/>
      <w:bookmarkStart w:id="283" w:name="_Toc131501132"/>
      <w:bookmarkStart w:id="284" w:name="_Toc169624691"/>
      <w:r w:rsidRPr="00382A62">
        <w:rPr>
          <w:rFonts w:cs="Arial"/>
          <w:sz w:val="20"/>
          <w:szCs w:val="20"/>
        </w:rPr>
        <w:lastRenderedPageBreak/>
        <w:t>Participaciones significativas</w:t>
      </w:r>
      <w:bookmarkEnd w:id="282"/>
      <w:bookmarkEnd w:id="283"/>
      <w:bookmarkEnd w:id="284"/>
    </w:p>
    <w:p w14:paraId="360EE66E" w14:textId="172588D2" w:rsidR="007605E6" w:rsidRPr="00382A62" w:rsidRDefault="007605E6" w:rsidP="007605E6">
      <w:pPr>
        <w:rPr>
          <w:rFonts w:cs="Arial"/>
          <w:szCs w:val="20"/>
        </w:rPr>
      </w:pPr>
      <w:r w:rsidRPr="00382A62">
        <w:rPr>
          <w:rFonts w:cs="Arial"/>
          <w:szCs w:val="20"/>
        </w:rPr>
        <w:t>Con la información con que cuenta el Emisor a la fecha</w:t>
      </w:r>
      <w:r w:rsidR="00AA4276" w:rsidRPr="00382A62">
        <w:rPr>
          <w:rFonts w:cs="Arial"/>
          <w:szCs w:val="20"/>
        </w:rPr>
        <w:t>,</w:t>
      </w:r>
      <w:r w:rsidRPr="00382A62">
        <w:rPr>
          <w:rFonts w:cs="Arial"/>
          <w:szCs w:val="20"/>
        </w:rPr>
        <w:t xml:space="preserve"> ningún accionista por sí o por interpósita persona tiene más del 10% de las acciones en circulación. Se aclara que el Emisor tiene limitaciones prácticas para conocer las participaciones de los accionistas de forma indirecta</w:t>
      </w:r>
      <w:r w:rsidR="007F13B5" w:rsidRPr="00382A62">
        <w:rPr>
          <w:rFonts w:cs="Arial"/>
          <w:szCs w:val="20"/>
        </w:rPr>
        <w:t>,</w:t>
      </w:r>
      <w:r w:rsidRPr="00382A62">
        <w:rPr>
          <w:rFonts w:cs="Arial"/>
          <w:szCs w:val="20"/>
        </w:rPr>
        <w:t xml:space="preserve"> por lo que estos porcentajes pueden variar. </w:t>
      </w:r>
    </w:p>
    <w:p w14:paraId="74AAE645" w14:textId="77777777" w:rsidR="007605E6" w:rsidRPr="00382A62" w:rsidRDefault="007605E6" w:rsidP="007605E6">
      <w:pPr>
        <w:pStyle w:val="Ttulo2"/>
        <w:numPr>
          <w:ilvl w:val="0"/>
          <w:numId w:val="13"/>
        </w:numPr>
        <w:rPr>
          <w:rFonts w:cs="Arial"/>
          <w:sz w:val="20"/>
          <w:szCs w:val="20"/>
        </w:rPr>
      </w:pPr>
      <w:bookmarkStart w:id="285" w:name="_Toc131092932"/>
      <w:bookmarkStart w:id="286" w:name="_Toc131501133"/>
      <w:bookmarkStart w:id="287" w:name="_Toc169624692"/>
      <w:r w:rsidRPr="00382A62">
        <w:rPr>
          <w:rFonts w:cs="Arial"/>
          <w:sz w:val="20"/>
          <w:szCs w:val="20"/>
        </w:rPr>
        <w:t>Transacciones con partes relacionadas</w:t>
      </w:r>
      <w:bookmarkEnd w:id="285"/>
      <w:bookmarkEnd w:id="286"/>
      <w:bookmarkEnd w:id="287"/>
    </w:p>
    <w:p w14:paraId="5B50DCE0" w14:textId="15FEAD78" w:rsidR="007605E6" w:rsidRPr="00382A62" w:rsidRDefault="007605E6" w:rsidP="007605E6">
      <w:pPr>
        <w:rPr>
          <w:rFonts w:cs="Arial"/>
          <w:szCs w:val="20"/>
        </w:rPr>
      </w:pPr>
      <w:r w:rsidRPr="00382A62">
        <w:rPr>
          <w:rFonts w:cs="Arial"/>
          <w:szCs w:val="20"/>
        </w:rPr>
        <w:t>La Compañía mantiene transacciones comerciales con compañías asociadas</w:t>
      </w:r>
      <w:r w:rsidR="007F13B5" w:rsidRPr="00382A62">
        <w:rPr>
          <w:rFonts w:cs="Arial"/>
          <w:szCs w:val="20"/>
        </w:rPr>
        <w:t>,</w:t>
      </w:r>
      <w:r w:rsidRPr="00382A62">
        <w:rPr>
          <w:rFonts w:cs="Arial"/>
          <w:szCs w:val="20"/>
        </w:rPr>
        <w:t xml:space="preserve"> las cuales suplen algunos servicios y materiales para la operación. Estas compañías son las siguientes:</w:t>
      </w:r>
    </w:p>
    <w:p w14:paraId="4836684C" w14:textId="4DA73335" w:rsidR="007605E6" w:rsidRPr="00382A62" w:rsidRDefault="007605E6" w:rsidP="00474D09">
      <w:pPr>
        <w:pStyle w:val="Prrafodelista"/>
        <w:numPr>
          <w:ilvl w:val="0"/>
          <w:numId w:val="17"/>
        </w:numPr>
        <w:spacing w:line="276" w:lineRule="auto"/>
        <w:rPr>
          <w:rFonts w:cs="Arial"/>
          <w:szCs w:val="20"/>
        </w:rPr>
      </w:pPr>
      <w:r w:rsidRPr="00382A62">
        <w:rPr>
          <w:rFonts w:cs="Arial"/>
          <w:szCs w:val="20"/>
        </w:rPr>
        <w:t>Compañía Distribuidora Nicaragua</w:t>
      </w:r>
      <w:r w:rsidR="00F053F3" w:rsidRPr="00382A62">
        <w:rPr>
          <w:rFonts w:cs="Arial"/>
          <w:szCs w:val="20"/>
        </w:rPr>
        <w:t>,</w:t>
      </w:r>
      <w:r w:rsidRPr="00382A62">
        <w:rPr>
          <w:rFonts w:cs="Arial"/>
          <w:szCs w:val="20"/>
        </w:rPr>
        <w:t xml:space="preserve"> S.A.</w:t>
      </w:r>
    </w:p>
    <w:p w14:paraId="6A4C0D2A" w14:textId="37C444C1" w:rsidR="007605E6" w:rsidRPr="00382A62" w:rsidRDefault="007605E6" w:rsidP="00474D09">
      <w:pPr>
        <w:pStyle w:val="Prrafodelista"/>
        <w:numPr>
          <w:ilvl w:val="0"/>
          <w:numId w:val="17"/>
        </w:numPr>
        <w:spacing w:line="276" w:lineRule="auto"/>
        <w:rPr>
          <w:rFonts w:cs="Arial"/>
          <w:szCs w:val="20"/>
        </w:rPr>
      </w:pPr>
      <w:r w:rsidRPr="00382A62">
        <w:rPr>
          <w:rFonts w:cs="Arial"/>
          <w:szCs w:val="20"/>
        </w:rPr>
        <w:t>Vidriera Centroamericana</w:t>
      </w:r>
      <w:r w:rsidR="00F053F3" w:rsidRPr="00382A62">
        <w:rPr>
          <w:rFonts w:cs="Arial"/>
          <w:szCs w:val="20"/>
        </w:rPr>
        <w:t>,</w:t>
      </w:r>
      <w:r w:rsidRPr="00382A62">
        <w:rPr>
          <w:rFonts w:cs="Arial"/>
          <w:szCs w:val="20"/>
        </w:rPr>
        <w:t xml:space="preserve"> S.A.</w:t>
      </w:r>
    </w:p>
    <w:p w14:paraId="02A1F122" w14:textId="1315456B" w:rsidR="007605E6" w:rsidRPr="00382A62" w:rsidRDefault="007605E6" w:rsidP="00474D09">
      <w:pPr>
        <w:pStyle w:val="Prrafodelista"/>
        <w:numPr>
          <w:ilvl w:val="0"/>
          <w:numId w:val="17"/>
        </w:numPr>
        <w:spacing w:line="276" w:lineRule="auto"/>
        <w:rPr>
          <w:rFonts w:cs="Arial"/>
          <w:szCs w:val="20"/>
        </w:rPr>
      </w:pPr>
      <w:r w:rsidRPr="00382A62">
        <w:rPr>
          <w:rFonts w:cs="Arial"/>
          <w:szCs w:val="20"/>
        </w:rPr>
        <w:t>Vidriera Guatemalteca</w:t>
      </w:r>
      <w:r w:rsidR="00F053F3" w:rsidRPr="00382A62">
        <w:rPr>
          <w:rFonts w:cs="Arial"/>
          <w:szCs w:val="20"/>
        </w:rPr>
        <w:t>,</w:t>
      </w:r>
      <w:r w:rsidRPr="00382A62">
        <w:rPr>
          <w:rFonts w:cs="Arial"/>
          <w:szCs w:val="20"/>
        </w:rPr>
        <w:t xml:space="preserve"> S.A.</w:t>
      </w:r>
    </w:p>
    <w:p w14:paraId="19AC55E8" w14:textId="66519704" w:rsidR="007605E6" w:rsidRPr="00382A62" w:rsidRDefault="007605E6" w:rsidP="00474D09">
      <w:pPr>
        <w:pStyle w:val="Prrafodelista"/>
        <w:numPr>
          <w:ilvl w:val="0"/>
          <w:numId w:val="17"/>
        </w:numPr>
        <w:spacing w:line="276" w:lineRule="auto"/>
        <w:rPr>
          <w:rFonts w:cs="Arial"/>
          <w:szCs w:val="20"/>
        </w:rPr>
      </w:pPr>
      <w:r w:rsidRPr="00382A62">
        <w:rPr>
          <w:rFonts w:cs="Arial"/>
          <w:szCs w:val="20"/>
        </w:rPr>
        <w:t>Compañía Cervecera de Nicaragua</w:t>
      </w:r>
      <w:r w:rsidR="00F053F3" w:rsidRPr="00382A62">
        <w:rPr>
          <w:rFonts w:cs="Arial"/>
          <w:szCs w:val="20"/>
        </w:rPr>
        <w:t>,</w:t>
      </w:r>
      <w:r w:rsidRPr="00382A62">
        <w:rPr>
          <w:rFonts w:cs="Arial"/>
          <w:szCs w:val="20"/>
        </w:rPr>
        <w:t xml:space="preserve"> S.A.</w:t>
      </w:r>
    </w:p>
    <w:p w14:paraId="036873BD" w14:textId="0E8FCB21" w:rsidR="007605E6" w:rsidRPr="00382A62" w:rsidRDefault="007605E6" w:rsidP="00474D09">
      <w:pPr>
        <w:pStyle w:val="Prrafodelista"/>
        <w:numPr>
          <w:ilvl w:val="0"/>
          <w:numId w:val="17"/>
        </w:numPr>
        <w:spacing w:line="276" w:lineRule="auto"/>
        <w:rPr>
          <w:rFonts w:cs="Arial"/>
          <w:szCs w:val="20"/>
        </w:rPr>
      </w:pPr>
      <w:r w:rsidRPr="00382A62">
        <w:rPr>
          <w:rFonts w:cs="Arial"/>
          <w:szCs w:val="20"/>
        </w:rPr>
        <w:t>Inversiones Cerveceras Centroamericanas</w:t>
      </w:r>
      <w:r w:rsidR="00F053F3" w:rsidRPr="00382A62">
        <w:rPr>
          <w:rFonts w:cs="Arial"/>
          <w:szCs w:val="20"/>
        </w:rPr>
        <w:t>,</w:t>
      </w:r>
      <w:r w:rsidRPr="00382A62">
        <w:rPr>
          <w:rFonts w:cs="Arial"/>
          <w:szCs w:val="20"/>
        </w:rPr>
        <w:t xml:space="preserve"> S.A.</w:t>
      </w:r>
    </w:p>
    <w:p w14:paraId="592CC498" w14:textId="631B6269" w:rsidR="007605E6" w:rsidRPr="00382A62" w:rsidRDefault="007605E6" w:rsidP="00474D09">
      <w:pPr>
        <w:pStyle w:val="Prrafodelista"/>
        <w:numPr>
          <w:ilvl w:val="0"/>
          <w:numId w:val="17"/>
        </w:numPr>
        <w:spacing w:line="276" w:lineRule="auto"/>
        <w:rPr>
          <w:rFonts w:cs="Arial"/>
          <w:szCs w:val="20"/>
        </w:rPr>
      </w:pPr>
      <w:r w:rsidRPr="00382A62">
        <w:rPr>
          <w:rFonts w:cs="Arial"/>
          <w:szCs w:val="20"/>
        </w:rPr>
        <w:t>Cervecería Panamá</w:t>
      </w:r>
      <w:r w:rsidR="00F053F3" w:rsidRPr="00382A62">
        <w:rPr>
          <w:rFonts w:cs="Arial"/>
          <w:szCs w:val="20"/>
        </w:rPr>
        <w:t>,</w:t>
      </w:r>
      <w:r w:rsidRPr="00382A62">
        <w:rPr>
          <w:rFonts w:cs="Arial"/>
          <w:szCs w:val="20"/>
        </w:rPr>
        <w:t xml:space="preserve"> S. A.</w:t>
      </w:r>
    </w:p>
    <w:p w14:paraId="257ED822" w14:textId="2C9B3228" w:rsidR="007605E6" w:rsidRPr="00382A62" w:rsidRDefault="007605E6" w:rsidP="00474D09">
      <w:pPr>
        <w:pStyle w:val="Prrafodelista"/>
        <w:numPr>
          <w:ilvl w:val="0"/>
          <w:numId w:val="17"/>
        </w:numPr>
        <w:spacing w:line="276" w:lineRule="auto"/>
        <w:rPr>
          <w:rFonts w:cs="Arial"/>
          <w:szCs w:val="20"/>
        </w:rPr>
      </w:pPr>
      <w:r w:rsidRPr="00382A62">
        <w:rPr>
          <w:rFonts w:cs="Arial"/>
          <w:szCs w:val="20"/>
        </w:rPr>
        <w:t>Heineken Internacional</w:t>
      </w:r>
      <w:r w:rsidR="00F053F3" w:rsidRPr="00382A62">
        <w:rPr>
          <w:rFonts w:cs="Arial"/>
          <w:szCs w:val="20"/>
        </w:rPr>
        <w:t>,</w:t>
      </w:r>
      <w:r w:rsidRPr="00382A62">
        <w:rPr>
          <w:rFonts w:cs="Arial"/>
          <w:szCs w:val="20"/>
        </w:rPr>
        <w:t xml:space="preserve"> BV.</w:t>
      </w:r>
    </w:p>
    <w:p w14:paraId="0E364CD2" w14:textId="58E00478" w:rsidR="007605E6" w:rsidRPr="00382A62" w:rsidRDefault="007605E6" w:rsidP="00474D09">
      <w:pPr>
        <w:pStyle w:val="Prrafodelista"/>
        <w:numPr>
          <w:ilvl w:val="0"/>
          <w:numId w:val="17"/>
        </w:numPr>
        <w:spacing w:line="276" w:lineRule="auto"/>
        <w:rPr>
          <w:rFonts w:cs="Arial"/>
          <w:szCs w:val="20"/>
        </w:rPr>
      </w:pPr>
      <w:r w:rsidRPr="00382A62">
        <w:rPr>
          <w:rFonts w:cs="Arial"/>
          <w:szCs w:val="20"/>
        </w:rPr>
        <w:t>Empresas Comegua</w:t>
      </w:r>
      <w:r w:rsidR="00F053F3" w:rsidRPr="00382A62">
        <w:rPr>
          <w:rFonts w:cs="Arial"/>
          <w:szCs w:val="20"/>
        </w:rPr>
        <w:t>,</w:t>
      </w:r>
      <w:r w:rsidRPr="00382A62">
        <w:rPr>
          <w:rFonts w:cs="Arial"/>
          <w:szCs w:val="20"/>
        </w:rPr>
        <w:t xml:space="preserve"> S.A.</w:t>
      </w:r>
    </w:p>
    <w:p w14:paraId="542DDE2B" w14:textId="25184490" w:rsidR="007605E6" w:rsidRPr="00382A62" w:rsidRDefault="007605E6" w:rsidP="00474D09">
      <w:pPr>
        <w:pStyle w:val="Prrafodelista"/>
        <w:numPr>
          <w:ilvl w:val="0"/>
          <w:numId w:val="17"/>
        </w:numPr>
        <w:spacing w:line="276" w:lineRule="auto"/>
        <w:rPr>
          <w:rFonts w:cs="Arial"/>
          <w:szCs w:val="20"/>
        </w:rPr>
      </w:pPr>
      <w:r w:rsidRPr="00382A62">
        <w:rPr>
          <w:rFonts w:cs="Arial"/>
          <w:szCs w:val="20"/>
        </w:rPr>
        <w:t>Jiménez Blanco y Quirós</w:t>
      </w:r>
      <w:r w:rsidR="00F053F3" w:rsidRPr="00382A62">
        <w:rPr>
          <w:rFonts w:cs="Arial"/>
          <w:szCs w:val="20"/>
        </w:rPr>
        <w:t>,</w:t>
      </w:r>
      <w:r w:rsidRPr="00382A62">
        <w:rPr>
          <w:rFonts w:cs="Arial"/>
          <w:szCs w:val="20"/>
        </w:rPr>
        <w:t xml:space="preserve"> S.A.</w:t>
      </w:r>
    </w:p>
    <w:p w14:paraId="7EB0F534" w14:textId="5EA1CC6E" w:rsidR="007605E6" w:rsidRPr="00382A62" w:rsidRDefault="007605E6" w:rsidP="00474D09">
      <w:pPr>
        <w:pStyle w:val="Prrafodelista"/>
        <w:numPr>
          <w:ilvl w:val="0"/>
          <w:numId w:val="17"/>
        </w:numPr>
        <w:spacing w:line="276" w:lineRule="auto"/>
        <w:rPr>
          <w:rFonts w:cs="Arial"/>
          <w:szCs w:val="20"/>
        </w:rPr>
      </w:pPr>
      <w:r w:rsidRPr="00382A62">
        <w:rPr>
          <w:rFonts w:cs="Arial"/>
          <w:szCs w:val="20"/>
        </w:rPr>
        <w:t>H.A. Logística de Carga</w:t>
      </w:r>
      <w:r w:rsidR="00F053F3" w:rsidRPr="00382A62">
        <w:rPr>
          <w:rFonts w:cs="Arial"/>
          <w:szCs w:val="20"/>
        </w:rPr>
        <w:t>,</w:t>
      </w:r>
      <w:r w:rsidRPr="00382A62">
        <w:rPr>
          <w:rFonts w:cs="Arial"/>
          <w:szCs w:val="20"/>
        </w:rPr>
        <w:t xml:space="preserve"> S.A.</w:t>
      </w:r>
    </w:p>
    <w:p w14:paraId="65BBC712" w14:textId="77777777" w:rsidR="007605E6" w:rsidRPr="00382A62" w:rsidRDefault="007605E6" w:rsidP="007605E6">
      <w:pPr>
        <w:spacing w:line="259" w:lineRule="auto"/>
        <w:jc w:val="left"/>
        <w:rPr>
          <w:rFonts w:cs="Arial"/>
          <w:szCs w:val="20"/>
        </w:rPr>
      </w:pPr>
      <w:r w:rsidRPr="00382A62">
        <w:rPr>
          <w:rFonts w:cs="Arial"/>
          <w:szCs w:val="20"/>
        </w:rPr>
        <w:t>Los saldos y transacciones con partes relacionadas se detallan como sigue:</w:t>
      </w:r>
    </w:p>
    <w:p w14:paraId="6FD0EF0E" w14:textId="4A551797" w:rsidR="007605E6" w:rsidRPr="00382A62" w:rsidRDefault="007605E6" w:rsidP="007605E6">
      <w:pPr>
        <w:pStyle w:val="Descripcin"/>
        <w:rPr>
          <w:rFonts w:cs="Arial"/>
          <w:szCs w:val="20"/>
        </w:rPr>
      </w:pPr>
      <w:bookmarkStart w:id="288" w:name="_Toc169624744"/>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5</w:t>
      </w:r>
      <w:r w:rsidR="00834FD6">
        <w:rPr>
          <w:rFonts w:cs="Arial"/>
          <w:noProof/>
          <w:szCs w:val="20"/>
        </w:rPr>
        <w:t>3</w:t>
      </w:r>
      <w:r w:rsidR="00423C23" w:rsidRPr="00382A62">
        <w:rPr>
          <w:rFonts w:cs="Arial"/>
          <w:noProof/>
          <w:szCs w:val="20"/>
        </w:rPr>
        <w:fldChar w:fldCharType="end"/>
      </w:r>
      <w:r w:rsidRPr="00382A62">
        <w:rPr>
          <w:rFonts w:cs="Arial"/>
          <w:szCs w:val="20"/>
        </w:rPr>
        <w:t xml:space="preserve"> - Saldos con partes relacionadas</w:t>
      </w:r>
      <w:bookmarkEnd w:id="288"/>
    </w:p>
    <w:tbl>
      <w:tblPr>
        <w:tblW w:w="7775" w:type="dxa"/>
        <w:jc w:val="center"/>
        <w:tblCellMar>
          <w:left w:w="70" w:type="dxa"/>
          <w:right w:w="70" w:type="dxa"/>
        </w:tblCellMar>
        <w:tblLook w:val="04A0" w:firstRow="1" w:lastRow="0" w:firstColumn="1" w:lastColumn="0" w:noHBand="0" w:noVBand="1"/>
      </w:tblPr>
      <w:tblGrid>
        <w:gridCol w:w="4621"/>
        <w:gridCol w:w="1574"/>
        <w:gridCol w:w="1580"/>
      </w:tblGrid>
      <w:tr w:rsidR="00AD7A41" w:rsidRPr="00382A62" w14:paraId="0414FDA7" w14:textId="77777777" w:rsidTr="008706CB">
        <w:trPr>
          <w:trHeight w:val="247"/>
          <w:jc w:val="center"/>
        </w:trPr>
        <w:tc>
          <w:tcPr>
            <w:tcW w:w="4621" w:type="dxa"/>
            <w:tcBorders>
              <w:top w:val="single" w:sz="8" w:space="0" w:color="A6A6A6"/>
              <w:left w:val="single" w:sz="8" w:space="0" w:color="A6A6A6"/>
              <w:bottom w:val="nil"/>
              <w:right w:val="single" w:sz="8" w:space="0" w:color="A6A6A6"/>
            </w:tcBorders>
            <w:shd w:val="clear" w:color="000000" w:fill="F2F2F2"/>
            <w:vAlign w:val="center"/>
            <w:hideMark/>
          </w:tcPr>
          <w:p w14:paraId="5040AF01" w14:textId="77777777" w:rsidR="00AD7A41" w:rsidRPr="00382A62" w:rsidRDefault="00AD7A41" w:rsidP="00AD7A41">
            <w:pPr>
              <w:spacing w:line="276" w:lineRule="auto"/>
              <w:contextualSpacing/>
              <w:jc w:val="center"/>
              <w:rPr>
                <w:rFonts w:cs="Arial"/>
                <w:b/>
                <w:bCs/>
                <w:szCs w:val="20"/>
              </w:rPr>
            </w:pPr>
            <w:r w:rsidRPr="00382A62">
              <w:rPr>
                <w:rFonts w:cs="Arial"/>
                <w:b/>
                <w:bCs/>
                <w:szCs w:val="20"/>
              </w:rPr>
              <w:t>Saldos</w:t>
            </w:r>
          </w:p>
        </w:tc>
        <w:tc>
          <w:tcPr>
            <w:tcW w:w="1574" w:type="dxa"/>
            <w:tcBorders>
              <w:top w:val="single" w:sz="8" w:space="0" w:color="A6A6A6"/>
              <w:left w:val="nil"/>
              <w:bottom w:val="single" w:sz="8" w:space="0" w:color="A6A6A6"/>
              <w:right w:val="single" w:sz="8" w:space="0" w:color="A6A6A6"/>
            </w:tcBorders>
            <w:shd w:val="clear" w:color="000000" w:fill="F2F2F2"/>
            <w:vAlign w:val="center"/>
            <w:hideMark/>
          </w:tcPr>
          <w:p w14:paraId="5C86A87B"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szCs w:val="20"/>
                <w:lang w:eastAsia="es-419"/>
              </w:rPr>
              <w:t>31-dic</w:t>
            </w:r>
          </w:p>
        </w:tc>
        <w:tc>
          <w:tcPr>
            <w:tcW w:w="1579" w:type="dxa"/>
            <w:tcBorders>
              <w:top w:val="single" w:sz="8" w:space="0" w:color="A6A6A6"/>
              <w:left w:val="nil"/>
              <w:bottom w:val="single" w:sz="8" w:space="0" w:color="A6A6A6"/>
              <w:right w:val="single" w:sz="8" w:space="0" w:color="A6A6A6"/>
            </w:tcBorders>
            <w:shd w:val="clear" w:color="000000" w:fill="F2F2F2"/>
            <w:vAlign w:val="center"/>
            <w:hideMark/>
          </w:tcPr>
          <w:p w14:paraId="34FA5ED6"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szCs w:val="20"/>
                <w:lang w:eastAsia="es-419"/>
              </w:rPr>
              <w:t>31-dic</w:t>
            </w:r>
          </w:p>
        </w:tc>
      </w:tr>
      <w:tr w:rsidR="00AD7A41" w:rsidRPr="00382A62" w14:paraId="019AD432"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000000" w:fill="F2F2F2"/>
            <w:vAlign w:val="center"/>
            <w:hideMark/>
          </w:tcPr>
          <w:p w14:paraId="3453B534"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574" w:type="dxa"/>
            <w:tcBorders>
              <w:top w:val="nil"/>
              <w:left w:val="nil"/>
              <w:bottom w:val="single" w:sz="8" w:space="0" w:color="A6A6A6"/>
              <w:right w:val="single" w:sz="8" w:space="0" w:color="A6A6A6"/>
            </w:tcBorders>
            <w:shd w:val="clear" w:color="000000" w:fill="F2F2F2"/>
            <w:vAlign w:val="center"/>
            <w:hideMark/>
          </w:tcPr>
          <w:p w14:paraId="0A5B54F3"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szCs w:val="20"/>
                <w:lang w:eastAsia="es-419"/>
              </w:rPr>
              <w:t>2022</w:t>
            </w:r>
          </w:p>
        </w:tc>
        <w:tc>
          <w:tcPr>
            <w:tcW w:w="1579" w:type="dxa"/>
            <w:tcBorders>
              <w:top w:val="nil"/>
              <w:left w:val="nil"/>
              <w:bottom w:val="single" w:sz="8" w:space="0" w:color="A6A6A6"/>
              <w:right w:val="single" w:sz="8" w:space="0" w:color="A6A6A6"/>
            </w:tcBorders>
            <w:shd w:val="clear" w:color="000000" w:fill="F2F2F2"/>
            <w:vAlign w:val="center"/>
            <w:hideMark/>
          </w:tcPr>
          <w:p w14:paraId="6CD6A592"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szCs w:val="20"/>
                <w:lang w:eastAsia="es-419"/>
              </w:rPr>
              <w:t>2023</w:t>
            </w:r>
          </w:p>
        </w:tc>
      </w:tr>
      <w:tr w:rsidR="00AD7A41" w:rsidRPr="00382A62" w14:paraId="2B070696" w14:textId="77777777" w:rsidTr="008706CB">
        <w:trPr>
          <w:trHeight w:val="247"/>
          <w:jc w:val="center"/>
        </w:trPr>
        <w:tc>
          <w:tcPr>
            <w:tcW w:w="7775" w:type="dxa"/>
            <w:gridSpan w:val="3"/>
            <w:tcBorders>
              <w:top w:val="single" w:sz="8" w:space="0" w:color="A6A6A6"/>
              <w:left w:val="single" w:sz="8" w:space="0" w:color="A6A6A6"/>
              <w:bottom w:val="single" w:sz="8" w:space="0" w:color="A6A6A6"/>
              <w:right w:val="single" w:sz="8" w:space="0" w:color="A6A6A6"/>
            </w:tcBorders>
            <w:shd w:val="clear" w:color="auto" w:fill="auto"/>
            <w:noWrap/>
            <w:vAlign w:val="center"/>
            <w:hideMark/>
          </w:tcPr>
          <w:p w14:paraId="2BCB22E9" w14:textId="77777777" w:rsidR="00AD7A41" w:rsidRPr="00382A62" w:rsidRDefault="00AD7A41" w:rsidP="00AD7A41">
            <w:pPr>
              <w:spacing w:after="0" w:line="240" w:lineRule="auto"/>
              <w:jc w:val="center"/>
              <w:rPr>
                <w:rFonts w:eastAsia="Times New Roman" w:cs="Arial"/>
                <w:b/>
                <w:bCs/>
                <w:i/>
                <w:iCs/>
                <w:color w:val="000000"/>
                <w:szCs w:val="20"/>
                <w:lang w:val="es-419" w:eastAsia="es-419"/>
              </w:rPr>
            </w:pPr>
            <w:r w:rsidRPr="00382A62">
              <w:rPr>
                <w:rFonts w:eastAsia="Times New Roman" w:cs="Arial"/>
                <w:b/>
                <w:bCs/>
                <w:i/>
                <w:iCs/>
                <w:color w:val="000000"/>
                <w:szCs w:val="20"/>
                <w:lang w:eastAsia="es-419"/>
              </w:rPr>
              <w:t>Por cobrar:</w:t>
            </w:r>
          </w:p>
        </w:tc>
      </w:tr>
      <w:tr w:rsidR="00AD7A41" w:rsidRPr="00382A62" w14:paraId="43BC5E69"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4794617A"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Compañía Cervecera de Nicaragua S.A.</w:t>
            </w:r>
          </w:p>
        </w:tc>
        <w:tc>
          <w:tcPr>
            <w:tcW w:w="1574" w:type="dxa"/>
            <w:tcBorders>
              <w:top w:val="nil"/>
              <w:left w:val="nil"/>
              <w:bottom w:val="single" w:sz="8" w:space="0" w:color="A6A6A6"/>
              <w:right w:val="single" w:sz="8" w:space="0" w:color="A6A6A6"/>
            </w:tcBorders>
            <w:shd w:val="clear" w:color="auto" w:fill="auto"/>
            <w:vAlign w:val="center"/>
            <w:hideMark/>
          </w:tcPr>
          <w:p w14:paraId="226C5143"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706</w:t>
            </w:r>
          </w:p>
        </w:tc>
        <w:tc>
          <w:tcPr>
            <w:tcW w:w="1579" w:type="dxa"/>
            <w:tcBorders>
              <w:top w:val="nil"/>
              <w:left w:val="nil"/>
              <w:bottom w:val="single" w:sz="8" w:space="0" w:color="A6A6A6"/>
              <w:right w:val="single" w:sz="8" w:space="0" w:color="A6A6A6"/>
            </w:tcBorders>
            <w:shd w:val="clear" w:color="auto" w:fill="auto"/>
            <w:vAlign w:val="center"/>
            <w:hideMark/>
          </w:tcPr>
          <w:p w14:paraId="30764185"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1.114</w:t>
            </w:r>
          </w:p>
        </w:tc>
      </w:tr>
      <w:tr w:rsidR="00AD7A41" w:rsidRPr="00382A62" w14:paraId="5E4A4525"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2C7ECCD8"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Heineken Internacional, BV</w:t>
            </w:r>
          </w:p>
        </w:tc>
        <w:tc>
          <w:tcPr>
            <w:tcW w:w="1574" w:type="dxa"/>
            <w:tcBorders>
              <w:top w:val="nil"/>
              <w:left w:val="nil"/>
              <w:bottom w:val="single" w:sz="8" w:space="0" w:color="A6A6A6"/>
              <w:right w:val="single" w:sz="8" w:space="0" w:color="A6A6A6"/>
            </w:tcBorders>
            <w:shd w:val="clear" w:color="auto" w:fill="auto"/>
            <w:vAlign w:val="center"/>
            <w:hideMark/>
          </w:tcPr>
          <w:p w14:paraId="17854720"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221</w:t>
            </w:r>
          </w:p>
        </w:tc>
        <w:tc>
          <w:tcPr>
            <w:tcW w:w="1579" w:type="dxa"/>
            <w:tcBorders>
              <w:top w:val="nil"/>
              <w:left w:val="nil"/>
              <w:bottom w:val="single" w:sz="8" w:space="0" w:color="A6A6A6"/>
              <w:right w:val="single" w:sz="8" w:space="0" w:color="A6A6A6"/>
            </w:tcBorders>
            <w:shd w:val="clear" w:color="auto" w:fill="auto"/>
            <w:vAlign w:val="center"/>
            <w:hideMark/>
          </w:tcPr>
          <w:p w14:paraId="6F064321"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134</w:t>
            </w:r>
          </w:p>
        </w:tc>
      </w:tr>
      <w:tr w:rsidR="00AD7A41" w:rsidRPr="00382A62" w14:paraId="726BA8FA"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624B7588"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Compañía Distribuidora Nicaragua, S.A.</w:t>
            </w:r>
          </w:p>
        </w:tc>
        <w:tc>
          <w:tcPr>
            <w:tcW w:w="1574" w:type="dxa"/>
            <w:tcBorders>
              <w:top w:val="nil"/>
              <w:left w:val="nil"/>
              <w:bottom w:val="single" w:sz="8" w:space="0" w:color="A6A6A6"/>
              <w:right w:val="single" w:sz="8" w:space="0" w:color="A6A6A6"/>
            </w:tcBorders>
            <w:shd w:val="clear" w:color="auto" w:fill="auto"/>
            <w:vAlign w:val="center"/>
            <w:hideMark/>
          </w:tcPr>
          <w:p w14:paraId="03E8BB20"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340</w:t>
            </w:r>
          </w:p>
        </w:tc>
        <w:tc>
          <w:tcPr>
            <w:tcW w:w="1579" w:type="dxa"/>
            <w:tcBorders>
              <w:top w:val="nil"/>
              <w:left w:val="nil"/>
              <w:bottom w:val="single" w:sz="8" w:space="0" w:color="A6A6A6"/>
              <w:right w:val="single" w:sz="8" w:space="0" w:color="A6A6A6"/>
            </w:tcBorders>
            <w:shd w:val="clear" w:color="auto" w:fill="auto"/>
            <w:vAlign w:val="center"/>
            <w:hideMark/>
          </w:tcPr>
          <w:p w14:paraId="125F7080"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262</w:t>
            </w:r>
          </w:p>
        </w:tc>
      </w:tr>
      <w:tr w:rsidR="00AD7A41" w:rsidRPr="00382A62" w14:paraId="5F4AC1F8"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273E6DCA"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H.A. Logística de Carga, S.A.</w:t>
            </w:r>
          </w:p>
        </w:tc>
        <w:tc>
          <w:tcPr>
            <w:tcW w:w="1574" w:type="dxa"/>
            <w:tcBorders>
              <w:top w:val="nil"/>
              <w:left w:val="nil"/>
              <w:bottom w:val="single" w:sz="8" w:space="0" w:color="A6A6A6"/>
              <w:right w:val="single" w:sz="8" w:space="0" w:color="A6A6A6"/>
            </w:tcBorders>
            <w:shd w:val="clear" w:color="auto" w:fill="auto"/>
            <w:vAlign w:val="center"/>
            <w:hideMark/>
          </w:tcPr>
          <w:p w14:paraId="2106B8AC"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42</w:t>
            </w:r>
          </w:p>
        </w:tc>
        <w:tc>
          <w:tcPr>
            <w:tcW w:w="1579" w:type="dxa"/>
            <w:tcBorders>
              <w:top w:val="nil"/>
              <w:left w:val="nil"/>
              <w:bottom w:val="single" w:sz="8" w:space="0" w:color="A6A6A6"/>
              <w:right w:val="single" w:sz="8" w:space="0" w:color="A6A6A6"/>
            </w:tcBorders>
            <w:shd w:val="clear" w:color="auto" w:fill="auto"/>
            <w:vAlign w:val="center"/>
            <w:hideMark/>
          </w:tcPr>
          <w:p w14:paraId="19E7739B"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3</w:t>
            </w:r>
          </w:p>
        </w:tc>
      </w:tr>
      <w:tr w:rsidR="00AD7A41" w:rsidRPr="00382A62" w14:paraId="5F42D6BD"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52003DEE"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Vidriera Centroamericana, S.A.</w:t>
            </w:r>
          </w:p>
        </w:tc>
        <w:tc>
          <w:tcPr>
            <w:tcW w:w="1574" w:type="dxa"/>
            <w:tcBorders>
              <w:top w:val="nil"/>
              <w:left w:val="nil"/>
              <w:bottom w:val="single" w:sz="8" w:space="0" w:color="A6A6A6"/>
              <w:right w:val="single" w:sz="8" w:space="0" w:color="A6A6A6"/>
            </w:tcBorders>
            <w:shd w:val="clear" w:color="auto" w:fill="auto"/>
            <w:vAlign w:val="center"/>
            <w:hideMark/>
          </w:tcPr>
          <w:p w14:paraId="6E54B072"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52</w:t>
            </w:r>
          </w:p>
        </w:tc>
        <w:tc>
          <w:tcPr>
            <w:tcW w:w="1579" w:type="dxa"/>
            <w:tcBorders>
              <w:top w:val="nil"/>
              <w:left w:val="nil"/>
              <w:bottom w:val="single" w:sz="8" w:space="0" w:color="A6A6A6"/>
              <w:right w:val="single" w:sz="8" w:space="0" w:color="A6A6A6"/>
            </w:tcBorders>
            <w:shd w:val="clear" w:color="auto" w:fill="auto"/>
            <w:vAlign w:val="center"/>
            <w:hideMark/>
          </w:tcPr>
          <w:p w14:paraId="4201EF37"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0</w:t>
            </w:r>
          </w:p>
        </w:tc>
      </w:tr>
      <w:tr w:rsidR="00AD7A41" w:rsidRPr="00382A62" w14:paraId="554F0B40"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2234EE9F" w14:textId="77777777" w:rsidR="00AD7A41" w:rsidRPr="00382A62" w:rsidRDefault="00AD7A41" w:rsidP="00AD7A41">
            <w:pPr>
              <w:spacing w:after="0" w:line="240" w:lineRule="auto"/>
              <w:jc w:val="left"/>
              <w:rPr>
                <w:rFonts w:eastAsia="Times New Roman" w:cs="Arial"/>
                <w:b/>
                <w:bCs/>
                <w:color w:val="000000"/>
                <w:szCs w:val="20"/>
                <w:lang w:val="es-419" w:eastAsia="es-419"/>
              </w:rPr>
            </w:pPr>
            <w:r w:rsidRPr="00382A62">
              <w:rPr>
                <w:rFonts w:eastAsia="Times New Roman" w:cs="Arial"/>
                <w:b/>
                <w:bCs/>
                <w:color w:val="000000"/>
                <w:szCs w:val="20"/>
                <w:lang w:eastAsia="es-419"/>
              </w:rPr>
              <w:t> Total</w:t>
            </w:r>
          </w:p>
        </w:tc>
        <w:tc>
          <w:tcPr>
            <w:tcW w:w="1574" w:type="dxa"/>
            <w:tcBorders>
              <w:top w:val="nil"/>
              <w:left w:val="nil"/>
              <w:bottom w:val="single" w:sz="8" w:space="0" w:color="A6A6A6"/>
              <w:right w:val="single" w:sz="8" w:space="0" w:color="A6A6A6"/>
            </w:tcBorders>
            <w:shd w:val="clear" w:color="auto" w:fill="auto"/>
            <w:vAlign w:val="center"/>
            <w:hideMark/>
          </w:tcPr>
          <w:p w14:paraId="63B31B0F"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1.361</w:t>
            </w:r>
          </w:p>
        </w:tc>
        <w:tc>
          <w:tcPr>
            <w:tcW w:w="1579" w:type="dxa"/>
            <w:tcBorders>
              <w:top w:val="nil"/>
              <w:left w:val="nil"/>
              <w:bottom w:val="single" w:sz="8" w:space="0" w:color="A6A6A6"/>
              <w:right w:val="single" w:sz="8" w:space="0" w:color="A6A6A6"/>
            </w:tcBorders>
            <w:shd w:val="clear" w:color="auto" w:fill="auto"/>
            <w:vAlign w:val="center"/>
            <w:hideMark/>
          </w:tcPr>
          <w:p w14:paraId="6921EB5C"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1.513</w:t>
            </w:r>
          </w:p>
        </w:tc>
      </w:tr>
      <w:tr w:rsidR="00AD7A41" w:rsidRPr="00382A62" w14:paraId="55876D5C" w14:textId="77777777" w:rsidTr="008706CB">
        <w:trPr>
          <w:trHeight w:val="247"/>
          <w:jc w:val="center"/>
        </w:trPr>
        <w:tc>
          <w:tcPr>
            <w:tcW w:w="7775" w:type="dxa"/>
            <w:gridSpan w:val="3"/>
            <w:tcBorders>
              <w:top w:val="single" w:sz="8" w:space="0" w:color="A6A6A6"/>
              <w:left w:val="single" w:sz="8" w:space="0" w:color="A6A6A6"/>
              <w:bottom w:val="single" w:sz="8" w:space="0" w:color="A6A6A6"/>
              <w:right w:val="single" w:sz="8" w:space="0" w:color="A6A6A6"/>
            </w:tcBorders>
            <w:shd w:val="clear" w:color="auto" w:fill="auto"/>
            <w:noWrap/>
            <w:vAlign w:val="center"/>
            <w:hideMark/>
          </w:tcPr>
          <w:p w14:paraId="546F867E" w14:textId="77777777" w:rsidR="00AD7A41" w:rsidRPr="00382A62" w:rsidRDefault="00AD7A41" w:rsidP="00AD7A41">
            <w:pPr>
              <w:spacing w:after="0" w:line="240" w:lineRule="auto"/>
              <w:jc w:val="center"/>
              <w:rPr>
                <w:rFonts w:eastAsia="Times New Roman" w:cs="Arial"/>
                <w:b/>
                <w:bCs/>
                <w:i/>
                <w:iCs/>
                <w:color w:val="000000"/>
                <w:szCs w:val="20"/>
                <w:lang w:val="es-419" w:eastAsia="es-419"/>
              </w:rPr>
            </w:pPr>
            <w:r w:rsidRPr="00382A62">
              <w:rPr>
                <w:rFonts w:eastAsia="Times New Roman" w:cs="Arial"/>
                <w:b/>
                <w:bCs/>
                <w:i/>
                <w:iCs/>
                <w:color w:val="000000"/>
                <w:szCs w:val="20"/>
                <w:lang w:eastAsia="es-419"/>
              </w:rPr>
              <w:t>Documentos por cobrar</w:t>
            </w:r>
          </w:p>
        </w:tc>
      </w:tr>
      <w:tr w:rsidR="00AD7A41" w:rsidRPr="00382A62" w14:paraId="74E9C352"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477B373E"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 xml:space="preserve">Cervecería Panamá, S.A. </w:t>
            </w:r>
          </w:p>
        </w:tc>
        <w:tc>
          <w:tcPr>
            <w:tcW w:w="1574" w:type="dxa"/>
            <w:tcBorders>
              <w:top w:val="nil"/>
              <w:left w:val="nil"/>
              <w:bottom w:val="single" w:sz="8" w:space="0" w:color="A6A6A6"/>
              <w:right w:val="single" w:sz="8" w:space="0" w:color="A6A6A6"/>
            </w:tcBorders>
            <w:shd w:val="clear" w:color="auto" w:fill="auto"/>
            <w:vAlign w:val="center"/>
            <w:hideMark/>
          </w:tcPr>
          <w:p w14:paraId="5D0310AD"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5.622</w:t>
            </w:r>
          </w:p>
        </w:tc>
        <w:tc>
          <w:tcPr>
            <w:tcW w:w="1579" w:type="dxa"/>
            <w:tcBorders>
              <w:top w:val="nil"/>
              <w:left w:val="nil"/>
              <w:bottom w:val="single" w:sz="8" w:space="0" w:color="A6A6A6"/>
              <w:right w:val="single" w:sz="8" w:space="0" w:color="A6A6A6"/>
            </w:tcBorders>
            <w:shd w:val="clear" w:color="auto" w:fill="auto"/>
            <w:vAlign w:val="center"/>
            <w:hideMark/>
          </w:tcPr>
          <w:p w14:paraId="59A39DCE"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5.269</w:t>
            </w:r>
          </w:p>
        </w:tc>
      </w:tr>
      <w:tr w:rsidR="00AD7A41" w:rsidRPr="00382A62" w14:paraId="107A704E" w14:textId="77777777" w:rsidTr="008706CB">
        <w:trPr>
          <w:trHeight w:val="247"/>
          <w:jc w:val="center"/>
        </w:trPr>
        <w:tc>
          <w:tcPr>
            <w:tcW w:w="7775" w:type="dxa"/>
            <w:gridSpan w:val="3"/>
            <w:tcBorders>
              <w:top w:val="single" w:sz="8" w:space="0" w:color="A6A6A6"/>
              <w:left w:val="single" w:sz="8" w:space="0" w:color="A6A6A6"/>
              <w:bottom w:val="single" w:sz="8" w:space="0" w:color="A6A6A6"/>
              <w:right w:val="single" w:sz="8" w:space="0" w:color="A6A6A6"/>
            </w:tcBorders>
            <w:shd w:val="clear" w:color="auto" w:fill="auto"/>
            <w:noWrap/>
            <w:vAlign w:val="center"/>
            <w:hideMark/>
          </w:tcPr>
          <w:p w14:paraId="46F718AD" w14:textId="77777777" w:rsidR="00AD7A41" w:rsidRPr="00382A62" w:rsidRDefault="00AD7A41" w:rsidP="00AD7A41">
            <w:pPr>
              <w:spacing w:after="0" w:line="240" w:lineRule="auto"/>
              <w:jc w:val="center"/>
              <w:rPr>
                <w:rFonts w:eastAsia="Times New Roman" w:cs="Arial"/>
                <w:b/>
                <w:bCs/>
                <w:i/>
                <w:iCs/>
                <w:color w:val="000000"/>
                <w:szCs w:val="20"/>
                <w:lang w:val="es-419" w:eastAsia="es-419"/>
              </w:rPr>
            </w:pPr>
            <w:r w:rsidRPr="00382A62">
              <w:rPr>
                <w:rFonts w:eastAsia="Times New Roman" w:cs="Arial"/>
                <w:b/>
                <w:bCs/>
                <w:i/>
                <w:iCs/>
                <w:color w:val="000000"/>
                <w:szCs w:val="20"/>
                <w:lang w:eastAsia="es-419"/>
              </w:rPr>
              <w:t>Por pagar:</w:t>
            </w:r>
          </w:p>
        </w:tc>
      </w:tr>
      <w:tr w:rsidR="00AD7A41" w:rsidRPr="00382A62" w14:paraId="12AD058B"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44331071"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Vidriera Centroamericana, S.A.</w:t>
            </w:r>
          </w:p>
        </w:tc>
        <w:tc>
          <w:tcPr>
            <w:tcW w:w="1574" w:type="dxa"/>
            <w:tcBorders>
              <w:top w:val="nil"/>
              <w:left w:val="nil"/>
              <w:bottom w:val="single" w:sz="8" w:space="0" w:color="A6A6A6"/>
              <w:right w:val="single" w:sz="8" w:space="0" w:color="A6A6A6"/>
            </w:tcBorders>
            <w:shd w:val="clear" w:color="auto" w:fill="auto"/>
            <w:vAlign w:val="center"/>
            <w:hideMark/>
          </w:tcPr>
          <w:p w14:paraId="760A8A0D"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566</w:t>
            </w:r>
          </w:p>
        </w:tc>
        <w:tc>
          <w:tcPr>
            <w:tcW w:w="1579" w:type="dxa"/>
            <w:tcBorders>
              <w:top w:val="nil"/>
              <w:left w:val="nil"/>
              <w:bottom w:val="single" w:sz="8" w:space="0" w:color="A6A6A6"/>
              <w:right w:val="single" w:sz="8" w:space="0" w:color="A6A6A6"/>
            </w:tcBorders>
            <w:shd w:val="clear" w:color="auto" w:fill="auto"/>
            <w:vAlign w:val="center"/>
            <w:hideMark/>
          </w:tcPr>
          <w:p w14:paraId="0D5F0E1C"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93</w:t>
            </w:r>
          </w:p>
        </w:tc>
      </w:tr>
      <w:tr w:rsidR="00AD7A41" w:rsidRPr="00382A62" w14:paraId="3B7C97EE"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12BA4FE9"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H.A. Logística de Carga, S.A.</w:t>
            </w:r>
          </w:p>
        </w:tc>
        <w:tc>
          <w:tcPr>
            <w:tcW w:w="1574" w:type="dxa"/>
            <w:tcBorders>
              <w:top w:val="nil"/>
              <w:left w:val="nil"/>
              <w:bottom w:val="single" w:sz="8" w:space="0" w:color="A6A6A6"/>
              <w:right w:val="single" w:sz="8" w:space="0" w:color="A6A6A6"/>
            </w:tcBorders>
            <w:shd w:val="clear" w:color="auto" w:fill="auto"/>
            <w:vAlign w:val="center"/>
            <w:hideMark/>
          </w:tcPr>
          <w:p w14:paraId="109849C8"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506</w:t>
            </w:r>
          </w:p>
        </w:tc>
        <w:tc>
          <w:tcPr>
            <w:tcW w:w="1579" w:type="dxa"/>
            <w:tcBorders>
              <w:top w:val="nil"/>
              <w:left w:val="nil"/>
              <w:bottom w:val="single" w:sz="8" w:space="0" w:color="A6A6A6"/>
              <w:right w:val="single" w:sz="8" w:space="0" w:color="A6A6A6"/>
            </w:tcBorders>
            <w:shd w:val="clear" w:color="auto" w:fill="auto"/>
            <w:vAlign w:val="center"/>
            <w:hideMark/>
          </w:tcPr>
          <w:p w14:paraId="3D53309C"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977</w:t>
            </w:r>
          </w:p>
        </w:tc>
      </w:tr>
      <w:tr w:rsidR="00AD7A41" w:rsidRPr="00382A62" w14:paraId="47C59523"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35DD5556"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Compañía Cervecera de Nicaragua, S. A.</w:t>
            </w:r>
          </w:p>
        </w:tc>
        <w:tc>
          <w:tcPr>
            <w:tcW w:w="1574" w:type="dxa"/>
            <w:tcBorders>
              <w:top w:val="nil"/>
              <w:left w:val="nil"/>
              <w:bottom w:val="single" w:sz="8" w:space="0" w:color="A6A6A6"/>
              <w:right w:val="single" w:sz="8" w:space="0" w:color="A6A6A6"/>
            </w:tcBorders>
            <w:shd w:val="clear" w:color="auto" w:fill="auto"/>
            <w:vAlign w:val="center"/>
            <w:hideMark/>
          </w:tcPr>
          <w:p w14:paraId="071F8FD9"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395</w:t>
            </w:r>
          </w:p>
        </w:tc>
        <w:tc>
          <w:tcPr>
            <w:tcW w:w="1579" w:type="dxa"/>
            <w:tcBorders>
              <w:top w:val="nil"/>
              <w:left w:val="nil"/>
              <w:bottom w:val="single" w:sz="8" w:space="0" w:color="A6A6A6"/>
              <w:right w:val="single" w:sz="8" w:space="0" w:color="A6A6A6"/>
            </w:tcBorders>
            <w:shd w:val="clear" w:color="auto" w:fill="auto"/>
            <w:vAlign w:val="center"/>
            <w:hideMark/>
          </w:tcPr>
          <w:p w14:paraId="60DE35DF"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236</w:t>
            </w:r>
          </w:p>
        </w:tc>
      </w:tr>
      <w:tr w:rsidR="00AD7A41" w:rsidRPr="00382A62" w14:paraId="11DD01F2"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01F7337D"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Vidriera Guatemalteca, S.A.</w:t>
            </w:r>
          </w:p>
        </w:tc>
        <w:tc>
          <w:tcPr>
            <w:tcW w:w="1574" w:type="dxa"/>
            <w:tcBorders>
              <w:top w:val="nil"/>
              <w:left w:val="nil"/>
              <w:bottom w:val="single" w:sz="8" w:space="0" w:color="A6A6A6"/>
              <w:right w:val="single" w:sz="8" w:space="0" w:color="A6A6A6"/>
            </w:tcBorders>
            <w:shd w:val="clear" w:color="auto" w:fill="auto"/>
            <w:vAlign w:val="center"/>
            <w:hideMark/>
          </w:tcPr>
          <w:p w14:paraId="037EF8BD"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371</w:t>
            </w:r>
          </w:p>
        </w:tc>
        <w:tc>
          <w:tcPr>
            <w:tcW w:w="1579" w:type="dxa"/>
            <w:tcBorders>
              <w:top w:val="nil"/>
              <w:left w:val="nil"/>
              <w:bottom w:val="single" w:sz="8" w:space="0" w:color="A6A6A6"/>
              <w:right w:val="single" w:sz="8" w:space="0" w:color="A6A6A6"/>
            </w:tcBorders>
            <w:shd w:val="clear" w:color="auto" w:fill="auto"/>
            <w:vAlign w:val="center"/>
            <w:hideMark/>
          </w:tcPr>
          <w:p w14:paraId="3919123A"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0</w:t>
            </w:r>
          </w:p>
        </w:tc>
      </w:tr>
      <w:tr w:rsidR="00AD7A41" w:rsidRPr="00382A62" w14:paraId="33D68E92"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66A06506"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Heineken Internacional, BV</w:t>
            </w:r>
          </w:p>
        </w:tc>
        <w:tc>
          <w:tcPr>
            <w:tcW w:w="1574" w:type="dxa"/>
            <w:tcBorders>
              <w:top w:val="nil"/>
              <w:left w:val="nil"/>
              <w:bottom w:val="single" w:sz="8" w:space="0" w:color="A6A6A6"/>
              <w:right w:val="single" w:sz="8" w:space="0" w:color="A6A6A6"/>
            </w:tcBorders>
            <w:shd w:val="clear" w:color="auto" w:fill="auto"/>
            <w:vAlign w:val="center"/>
            <w:hideMark/>
          </w:tcPr>
          <w:p w14:paraId="3250754A"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193</w:t>
            </w:r>
          </w:p>
        </w:tc>
        <w:tc>
          <w:tcPr>
            <w:tcW w:w="1579" w:type="dxa"/>
            <w:tcBorders>
              <w:top w:val="nil"/>
              <w:left w:val="nil"/>
              <w:bottom w:val="single" w:sz="8" w:space="0" w:color="A6A6A6"/>
              <w:right w:val="single" w:sz="8" w:space="0" w:color="A6A6A6"/>
            </w:tcBorders>
            <w:shd w:val="clear" w:color="auto" w:fill="auto"/>
            <w:vAlign w:val="center"/>
            <w:hideMark/>
          </w:tcPr>
          <w:p w14:paraId="53B0771E"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42</w:t>
            </w:r>
          </w:p>
        </w:tc>
      </w:tr>
      <w:tr w:rsidR="00AD7A41" w:rsidRPr="00382A62" w14:paraId="0CB9EA8B"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49283441"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Compañía Distribuidora Nicaragua, S.A.</w:t>
            </w:r>
          </w:p>
        </w:tc>
        <w:tc>
          <w:tcPr>
            <w:tcW w:w="1574" w:type="dxa"/>
            <w:tcBorders>
              <w:top w:val="nil"/>
              <w:left w:val="nil"/>
              <w:bottom w:val="single" w:sz="8" w:space="0" w:color="A6A6A6"/>
              <w:right w:val="single" w:sz="8" w:space="0" w:color="A6A6A6"/>
            </w:tcBorders>
            <w:shd w:val="clear" w:color="auto" w:fill="auto"/>
            <w:vAlign w:val="center"/>
            <w:hideMark/>
          </w:tcPr>
          <w:p w14:paraId="26698AD1"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99</w:t>
            </w:r>
          </w:p>
        </w:tc>
        <w:tc>
          <w:tcPr>
            <w:tcW w:w="1579" w:type="dxa"/>
            <w:tcBorders>
              <w:top w:val="nil"/>
              <w:left w:val="nil"/>
              <w:bottom w:val="single" w:sz="8" w:space="0" w:color="A6A6A6"/>
              <w:right w:val="single" w:sz="8" w:space="0" w:color="A6A6A6"/>
            </w:tcBorders>
            <w:shd w:val="clear" w:color="auto" w:fill="auto"/>
            <w:vAlign w:val="center"/>
            <w:hideMark/>
          </w:tcPr>
          <w:p w14:paraId="39FF284D"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51</w:t>
            </w:r>
          </w:p>
        </w:tc>
      </w:tr>
      <w:tr w:rsidR="00AD7A41" w:rsidRPr="00382A62" w14:paraId="4350363D"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53677E6F"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Jiménez Blanco y Quirós, S.A.</w:t>
            </w:r>
          </w:p>
        </w:tc>
        <w:tc>
          <w:tcPr>
            <w:tcW w:w="1574" w:type="dxa"/>
            <w:tcBorders>
              <w:top w:val="nil"/>
              <w:left w:val="nil"/>
              <w:bottom w:val="single" w:sz="8" w:space="0" w:color="A6A6A6"/>
              <w:right w:val="single" w:sz="8" w:space="0" w:color="A6A6A6"/>
            </w:tcBorders>
            <w:shd w:val="clear" w:color="auto" w:fill="auto"/>
            <w:vAlign w:val="center"/>
            <w:hideMark/>
          </w:tcPr>
          <w:p w14:paraId="446A3B0C"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25</w:t>
            </w:r>
          </w:p>
        </w:tc>
        <w:tc>
          <w:tcPr>
            <w:tcW w:w="1579" w:type="dxa"/>
            <w:tcBorders>
              <w:top w:val="nil"/>
              <w:left w:val="nil"/>
              <w:bottom w:val="single" w:sz="8" w:space="0" w:color="A6A6A6"/>
              <w:right w:val="single" w:sz="8" w:space="0" w:color="A6A6A6"/>
            </w:tcBorders>
            <w:shd w:val="clear" w:color="auto" w:fill="auto"/>
            <w:vAlign w:val="center"/>
            <w:hideMark/>
          </w:tcPr>
          <w:p w14:paraId="3A680337"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42</w:t>
            </w:r>
          </w:p>
        </w:tc>
      </w:tr>
      <w:tr w:rsidR="00AD7A41" w:rsidRPr="00382A62" w14:paraId="5B144FAC"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773D9328" w14:textId="77777777" w:rsidR="00AD7A41" w:rsidRPr="00382A62" w:rsidRDefault="00AD7A41" w:rsidP="00AD7A41">
            <w:pPr>
              <w:spacing w:after="0" w:line="240" w:lineRule="auto"/>
              <w:jc w:val="left"/>
              <w:rPr>
                <w:rFonts w:eastAsia="Times New Roman" w:cs="Arial"/>
                <w:b/>
                <w:bCs/>
                <w:color w:val="000000"/>
                <w:szCs w:val="20"/>
                <w:lang w:val="es-419" w:eastAsia="es-419"/>
              </w:rPr>
            </w:pPr>
            <w:r w:rsidRPr="00382A62">
              <w:rPr>
                <w:rFonts w:eastAsia="Times New Roman" w:cs="Arial"/>
                <w:b/>
                <w:bCs/>
                <w:color w:val="000000"/>
                <w:szCs w:val="20"/>
                <w:lang w:eastAsia="es-419"/>
              </w:rPr>
              <w:t> Total</w:t>
            </w:r>
          </w:p>
        </w:tc>
        <w:tc>
          <w:tcPr>
            <w:tcW w:w="1574" w:type="dxa"/>
            <w:tcBorders>
              <w:top w:val="nil"/>
              <w:left w:val="nil"/>
              <w:bottom w:val="single" w:sz="8" w:space="0" w:color="A6A6A6"/>
              <w:right w:val="single" w:sz="8" w:space="0" w:color="A6A6A6"/>
            </w:tcBorders>
            <w:shd w:val="clear" w:color="auto" w:fill="auto"/>
            <w:vAlign w:val="center"/>
            <w:hideMark/>
          </w:tcPr>
          <w:p w14:paraId="10434CEF"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2.155</w:t>
            </w:r>
          </w:p>
        </w:tc>
        <w:tc>
          <w:tcPr>
            <w:tcW w:w="1579" w:type="dxa"/>
            <w:tcBorders>
              <w:top w:val="nil"/>
              <w:left w:val="nil"/>
              <w:bottom w:val="single" w:sz="8" w:space="0" w:color="A6A6A6"/>
              <w:right w:val="single" w:sz="8" w:space="0" w:color="A6A6A6"/>
            </w:tcBorders>
            <w:shd w:val="clear" w:color="auto" w:fill="auto"/>
            <w:vAlign w:val="center"/>
            <w:hideMark/>
          </w:tcPr>
          <w:p w14:paraId="00EB39C8"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1.441</w:t>
            </w:r>
          </w:p>
        </w:tc>
      </w:tr>
    </w:tbl>
    <w:p w14:paraId="27A94F9A" w14:textId="77777777" w:rsidR="00AD7A41" w:rsidRPr="00382A62" w:rsidRDefault="00AD7A41" w:rsidP="00AD7A41">
      <w:pPr>
        <w:rPr>
          <w:rFonts w:cs="Arial"/>
          <w:szCs w:val="20"/>
        </w:rPr>
      </w:pPr>
    </w:p>
    <w:p w14:paraId="4DA4440B" w14:textId="77777777" w:rsidR="007605E6" w:rsidRDefault="007605E6" w:rsidP="007605E6">
      <w:pPr>
        <w:spacing w:line="240" w:lineRule="auto"/>
        <w:rPr>
          <w:rFonts w:cs="Arial"/>
          <w:color w:val="7F7F7F" w:themeColor="text1" w:themeTint="80"/>
          <w:szCs w:val="20"/>
        </w:rPr>
      </w:pPr>
      <w:r w:rsidRPr="00382A62">
        <w:rPr>
          <w:rFonts w:cs="Arial"/>
          <w:color w:val="7F7F7F" w:themeColor="text1" w:themeTint="80"/>
          <w:szCs w:val="20"/>
        </w:rPr>
        <w:t>Fuente: Estados Financieros Auditados al 31 de diciembre del 2022.</w:t>
      </w:r>
    </w:p>
    <w:p w14:paraId="36661D47" w14:textId="77777777" w:rsidR="007605E6" w:rsidRPr="00382A62" w:rsidRDefault="007605E6" w:rsidP="007605E6">
      <w:pPr>
        <w:rPr>
          <w:rFonts w:cs="Arial"/>
          <w:szCs w:val="20"/>
        </w:rPr>
      </w:pPr>
      <w:r w:rsidRPr="00382A62">
        <w:rPr>
          <w:rFonts w:cs="Arial"/>
          <w:szCs w:val="20"/>
        </w:rPr>
        <w:lastRenderedPageBreak/>
        <w:t>Los términos de compra de productos con partes relacionadas son establecidos considerando como referencia el valor del mercado de los bienes transados.</w:t>
      </w:r>
    </w:p>
    <w:p w14:paraId="067E0D9B" w14:textId="0EED7B53" w:rsidR="007605E6" w:rsidRPr="00382A62" w:rsidRDefault="007605E6" w:rsidP="007605E6">
      <w:pPr>
        <w:pStyle w:val="Descripcin"/>
        <w:rPr>
          <w:rFonts w:cs="Arial"/>
          <w:szCs w:val="20"/>
        </w:rPr>
      </w:pPr>
      <w:bookmarkStart w:id="289" w:name="_Toc169624745"/>
      <w:r w:rsidRPr="00BD6E36">
        <w:rPr>
          <w:rFonts w:cs="Arial"/>
          <w:szCs w:val="20"/>
        </w:rPr>
        <w:t xml:space="preserve">Tabla </w:t>
      </w:r>
      <w:r w:rsidR="00423C23" w:rsidRPr="00BD6E36">
        <w:rPr>
          <w:rFonts w:cs="Arial"/>
          <w:szCs w:val="20"/>
        </w:rPr>
        <w:fldChar w:fldCharType="begin"/>
      </w:r>
      <w:r w:rsidR="00423C23" w:rsidRPr="00BD6E36">
        <w:rPr>
          <w:rFonts w:cs="Arial"/>
          <w:szCs w:val="20"/>
        </w:rPr>
        <w:instrText xml:space="preserve"> SEQ Tabla \* ARABIC </w:instrText>
      </w:r>
      <w:r w:rsidR="00423C23" w:rsidRPr="00BD6E36">
        <w:rPr>
          <w:rFonts w:cs="Arial"/>
          <w:szCs w:val="20"/>
        </w:rPr>
        <w:fldChar w:fldCharType="separate"/>
      </w:r>
      <w:r w:rsidR="00915ACD" w:rsidRPr="00BD6E36">
        <w:rPr>
          <w:rFonts w:cs="Arial"/>
          <w:noProof/>
          <w:szCs w:val="20"/>
        </w:rPr>
        <w:t>5</w:t>
      </w:r>
      <w:r w:rsidR="00834FD6">
        <w:rPr>
          <w:rFonts w:cs="Arial"/>
          <w:noProof/>
          <w:szCs w:val="20"/>
        </w:rPr>
        <w:t>4</w:t>
      </w:r>
      <w:r w:rsidR="00423C23" w:rsidRPr="00BD6E36">
        <w:rPr>
          <w:rFonts w:cs="Arial"/>
          <w:noProof/>
          <w:szCs w:val="20"/>
        </w:rPr>
        <w:fldChar w:fldCharType="end"/>
      </w:r>
      <w:r w:rsidRPr="00BD6E36">
        <w:rPr>
          <w:rFonts w:cs="Arial"/>
          <w:szCs w:val="20"/>
        </w:rPr>
        <w:t xml:space="preserve"> - Transacciones con partes relacionadas</w:t>
      </w:r>
      <w:bookmarkEnd w:id="289"/>
    </w:p>
    <w:tbl>
      <w:tblPr>
        <w:tblW w:w="991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4106"/>
        <w:gridCol w:w="2906"/>
        <w:gridCol w:w="2906"/>
      </w:tblGrid>
      <w:tr w:rsidR="007605E6" w:rsidRPr="00382A62" w14:paraId="5F912445" w14:textId="77777777" w:rsidTr="007D00B2">
        <w:trPr>
          <w:trHeight w:val="255"/>
          <w:jc w:val="center"/>
        </w:trPr>
        <w:tc>
          <w:tcPr>
            <w:tcW w:w="4106" w:type="dxa"/>
            <w:vMerge w:val="restart"/>
            <w:shd w:val="clear" w:color="auto" w:fill="F2F2F2" w:themeFill="background1" w:themeFillShade="F2"/>
            <w:vAlign w:val="center"/>
            <w:hideMark/>
          </w:tcPr>
          <w:p w14:paraId="2CDC9A7F"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Transacciones</w:t>
            </w:r>
            <w:r w:rsidRPr="00382A62">
              <w:rPr>
                <w:rFonts w:cs="Arial"/>
                <w:b/>
                <w:bCs/>
                <w:szCs w:val="20"/>
              </w:rPr>
              <w:br/>
              <w:t>(En millones de colones)</w:t>
            </w:r>
          </w:p>
        </w:tc>
        <w:tc>
          <w:tcPr>
            <w:tcW w:w="2906" w:type="dxa"/>
            <w:shd w:val="clear" w:color="auto" w:fill="F2F2F2" w:themeFill="background1" w:themeFillShade="F2"/>
            <w:vAlign w:val="center"/>
          </w:tcPr>
          <w:p w14:paraId="261FD3E7"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Por el periodo de doce meses terminado al 31 de diciembre</w:t>
            </w:r>
          </w:p>
        </w:tc>
        <w:tc>
          <w:tcPr>
            <w:tcW w:w="2906" w:type="dxa"/>
            <w:shd w:val="clear" w:color="auto" w:fill="F2F2F2" w:themeFill="background1" w:themeFillShade="F2"/>
            <w:vAlign w:val="center"/>
          </w:tcPr>
          <w:p w14:paraId="2E110F9F"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Por el periodo de doce meses terminado al 31 de diciembre</w:t>
            </w:r>
          </w:p>
        </w:tc>
      </w:tr>
      <w:tr w:rsidR="007605E6" w:rsidRPr="00382A62" w14:paraId="1EF71B95" w14:textId="77777777" w:rsidTr="007D00B2">
        <w:trPr>
          <w:trHeight w:val="306"/>
          <w:jc w:val="center"/>
        </w:trPr>
        <w:tc>
          <w:tcPr>
            <w:tcW w:w="4106" w:type="dxa"/>
            <w:vMerge/>
            <w:vAlign w:val="center"/>
            <w:hideMark/>
          </w:tcPr>
          <w:p w14:paraId="5E295F47" w14:textId="77777777" w:rsidR="007605E6" w:rsidRPr="00382A62" w:rsidRDefault="007605E6" w:rsidP="007D00B2">
            <w:pPr>
              <w:spacing w:line="276" w:lineRule="auto"/>
              <w:contextualSpacing/>
              <w:jc w:val="center"/>
              <w:rPr>
                <w:rFonts w:cs="Arial"/>
                <w:b/>
                <w:bCs/>
                <w:szCs w:val="20"/>
              </w:rPr>
            </w:pPr>
          </w:p>
        </w:tc>
        <w:tc>
          <w:tcPr>
            <w:tcW w:w="2906" w:type="dxa"/>
            <w:shd w:val="clear" w:color="auto" w:fill="F2F2F2" w:themeFill="background1" w:themeFillShade="F2"/>
            <w:noWrap/>
            <w:vAlign w:val="center"/>
            <w:hideMark/>
          </w:tcPr>
          <w:p w14:paraId="74391C6D" w14:textId="5A357DA0" w:rsidR="007605E6" w:rsidRPr="00382A62" w:rsidRDefault="007605E6" w:rsidP="007D00B2">
            <w:pPr>
              <w:spacing w:line="276" w:lineRule="auto"/>
              <w:contextualSpacing/>
              <w:jc w:val="center"/>
              <w:rPr>
                <w:rFonts w:cs="Arial"/>
                <w:b/>
                <w:bCs/>
                <w:szCs w:val="20"/>
              </w:rPr>
            </w:pPr>
            <w:r w:rsidRPr="00382A62">
              <w:rPr>
                <w:rFonts w:cs="Arial"/>
                <w:b/>
                <w:bCs/>
                <w:szCs w:val="20"/>
              </w:rPr>
              <w:t>202</w:t>
            </w:r>
            <w:r w:rsidR="00193D7E">
              <w:rPr>
                <w:rFonts w:cs="Arial"/>
                <w:b/>
                <w:bCs/>
                <w:szCs w:val="20"/>
              </w:rPr>
              <w:t>2</w:t>
            </w:r>
          </w:p>
        </w:tc>
        <w:tc>
          <w:tcPr>
            <w:tcW w:w="2906" w:type="dxa"/>
            <w:shd w:val="clear" w:color="auto" w:fill="F2F2F2" w:themeFill="background1" w:themeFillShade="F2"/>
            <w:vAlign w:val="center"/>
          </w:tcPr>
          <w:p w14:paraId="4E04888B" w14:textId="02550B1B" w:rsidR="007605E6" w:rsidRPr="00382A62" w:rsidRDefault="007605E6" w:rsidP="007D00B2">
            <w:pPr>
              <w:spacing w:line="276" w:lineRule="auto"/>
              <w:contextualSpacing/>
              <w:jc w:val="center"/>
              <w:rPr>
                <w:rFonts w:cs="Arial"/>
                <w:b/>
                <w:bCs/>
                <w:szCs w:val="20"/>
              </w:rPr>
            </w:pPr>
            <w:r w:rsidRPr="00382A62">
              <w:rPr>
                <w:rFonts w:cs="Arial"/>
                <w:b/>
                <w:bCs/>
                <w:szCs w:val="20"/>
              </w:rPr>
              <w:t>202</w:t>
            </w:r>
            <w:r w:rsidR="00193D7E">
              <w:rPr>
                <w:rFonts w:cs="Arial"/>
                <w:b/>
                <w:bCs/>
                <w:szCs w:val="20"/>
              </w:rPr>
              <w:t>3</w:t>
            </w:r>
          </w:p>
        </w:tc>
      </w:tr>
      <w:tr w:rsidR="007605E6" w:rsidRPr="00382A62" w14:paraId="10BD88BF" w14:textId="77777777" w:rsidTr="007D00B2">
        <w:trPr>
          <w:trHeight w:val="255"/>
          <w:jc w:val="center"/>
        </w:trPr>
        <w:tc>
          <w:tcPr>
            <w:tcW w:w="9918" w:type="dxa"/>
            <w:gridSpan w:val="3"/>
            <w:shd w:val="clear" w:color="auto" w:fill="auto"/>
            <w:noWrap/>
            <w:vAlign w:val="center"/>
            <w:hideMark/>
          </w:tcPr>
          <w:p w14:paraId="08E9E9DD" w14:textId="77777777" w:rsidR="007605E6" w:rsidRPr="00382A62" w:rsidRDefault="007605E6" w:rsidP="007D00B2">
            <w:pPr>
              <w:spacing w:line="276" w:lineRule="auto"/>
              <w:contextualSpacing/>
              <w:jc w:val="center"/>
              <w:rPr>
                <w:rFonts w:cs="Arial"/>
                <w:b/>
                <w:bCs/>
                <w:i/>
                <w:iCs/>
                <w:szCs w:val="20"/>
              </w:rPr>
            </w:pPr>
            <w:r w:rsidRPr="00382A62">
              <w:rPr>
                <w:rFonts w:cs="Arial"/>
                <w:b/>
                <w:bCs/>
                <w:i/>
                <w:iCs/>
                <w:szCs w:val="20"/>
              </w:rPr>
              <w:t>Compras de envases y producto:</w:t>
            </w:r>
          </w:p>
        </w:tc>
      </w:tr>
      <w:tr w:rsidR="00193D7E" w:rsidRPr="00382A62" w14:paraId="3E74A175" w14:textId="77777777" w:rsidTr="007D00B2">
        <w:trPr>
          <w:trHeight w:val="255"/>
          <w:jc w:val="center"/>
        </w:trPr>
        <w:tc>
          <w:tcPr>
            <w:tcW w:w="4106" w:type="dxa"/>
            <w:shd w:val="clear" w:color="auto" w:fill="auto"/>
            <w:noWrap/>
            <w:vAlign w:val="center"/>
            <w:hideMark/>
          </w:tcPr>
          <w:p w14:paraId="5233C979" w14:textId="30F8B2C7" w:rsidR="00193D7E" w:rsidRPr="00382A62" w:rsidRDefault="00193D7E" w:rsidP="00193D7E">
            <w:pPr>
              <w:spacing w:line="276" w:lineRule="auto"/>
              <w:contextualSpacing/>
              <w:rPr>
                <w:rFonts w:cs="Arial"/>
                <w:szCs w:val="20"/>
              </w:rPr>
            </w:pPr>
            <w:r w:rsidRPr="00382A62">
              <w:rPr>
                <w:rFonts w:cs="Arial"/>
                <w:szCs w:val="20"/>
              </w:rPr>
              <w:t>Vidriera Centroamericana, S.A.</w:t>
            </w:r>
          </w:p>
        </w:tc>
        <w:tc>
          <w:tcPr>
            <w:tcW w:w="2906" w:type="dxa"/>
            <w:shd w:val="clear" w:color="auto" w:fill="auto"/>
            <w:noWrap/>
            <w:vAlign w:val="center"/>
          </w:tcPr>
          <w:p w14:paraId="27C508BE" w14:textId="68E25BFA" w:rsidR="00193D7E" w:rsidRPr="00382A62" w:rsidRDefault="00193D7E" w:rsidP="00193D7E">
            <w:pPr>
              <w:spacing w:line="276" w:lineRule="auto"/>
              <w:contextualSpacing/>
              <w:jc w:val="right"/>
              <w:rPr>
                <w:rFonts w:cs="Arial"/>
                <w:szCs w:val="20"/>
              </w:rPr>
            </w:pPr>
            <w:r w:rsidRPr="00382A62">
              <w:rPr>
                <w:rFonts w:cs="Arial"/>
                <w:szCs w:val="20"/>
              </w:rPr>
              <w:t>10.429</w:t>
            </w:r>
          </w:p>
        </w:tc>
        <w:tc>
          <w:tcPr>
            <w:tcW w:w="2906" w:type="dxa"/>
            <w:vAlign w:val="center"/>
          </w:tcPr>
          <w:p w14:paraId="4CED1612" w14:textId="5181680C" w:rsidR="00193D7E" w:rsidRPr="00675227" w:rsidRDefault="00675227" w:rsidP="00675227">
            <w:pPr>
              <w:spacing w:line="240" w:lineRule="auto"/>
              <w:jc w:val="right"/>
              <w:rPr>
                <w:rFonts w:cs="Arial"/>
                <w:color w:val="000000"/>
                <w:szCs w:val="20"/>
              </w:rPr>
            </w:pPr>
            <w:r>
              <w:rPr>
                <w:rFonts w:cs="Arial"/>
                <w:color w:val="000000"/>
                <w:szCs w:val="20"/>
              </w:rPr>
              <w:t>7,225</w:t>
            </w:r>
          </w:p>
        </w:tc>
      </w:tr>
      <w:tr w:rsidR="00193D7E" w:rsidRPr="00382A62" w14:paraId="0F496C8B" w14:textId="77777777" w:rsidTr="007D00B2">
        <w:trPr>
          <w:trHeight w:val="255"/>
          <w:jc w:val="center"/>
        </w:trPr>
        <w:tc>
          <w:tcPr>
            <w:tcW w:w="4106" w:type="dxa"/>
            <w:shd w:val="clear" w:color="auto" w:fill="auto"/>
            <w:noWrap/>
            <w:vAlign w:val="center"/>
          </w:tcPr>
          <w:p w14:paraId="1B62D515" w14:textId="4FEF5814" w:rsidR="00193D7E" w:rsidRPr="00382A62" w:rsidRDefault="00193D7E" w:rsidP="00193D7E">
            <w:pPr>
              <w:spacing w:line="276" w:lineRule="auto"/>
              <w:contextualSpacing/>
              <w:rPr>
                <w:rFonts w:cs="Arial"/>
                <w:szCs w:val="20"/>
              </w:rPr>
            </w:pPr>
            <w:r w:rsidRPr="00382A62">
              <w:rPr>
                <w:rFonts w:cs="Arial"/>
                <w:szCs w:val="20"/>
              </w:rPr>
              <w:t>Heineken Internacional, BV</w:t>
            </w:r>
          </w:p>
        </w:tc>
        <w:tc>
          <w:tcPr>
            <w:tcW w:w="2906" w:type="dxa"/>
            <w:shd w:val="clear" w:color="auto" w:fill="auto"/>
            <w:noWrap/>
            <w:vAlign w:val="center"/>
          </w:tcPr>
          <w:p w14:paraId="3995365C" w14:textId="7D680658" w:rsidR="00193D7E" w:rsidRPr="0051727F" w:rsidRDefault="0051727F" w:rsidP="0051727F">
            <w:pPr>
              <w:spacing w:line="240" w:lineRule="auto"/>
              <w:jc w:val="right"/>
              <w:rPr>
                <w:rFonts w:cs="Arial"/>
                <w:color w:val="000000"/>
                <w:szCs w:val="20"/>
              </w:rPr>
            </w:pPr>
            <w:r>
              <w:rPr>
                <w:rFonts w:cs="Arial"/>
                <w:color w:val="000000"/>
                <w:szCs w:val="20"/>
              </w:rPr>
              <w:t>1,609</w:t>
            </w:r>
          </w:p>
        </w:tc>
        <w:tc>
          <w:tcPr>
            <w:tcW w:w="2906" w:type="dxa"/>
            <w:vAlign w:val="center"/>
          </w:tcPr>
          <w:p w14:paraId="2C5335F3" w14:textId="17076318" w:rsidR="00193D7E" w:rsidRPr="00382A62" w:rsidRDefault="006950B0" w:rsidP="00193D7E">
            <w:pPr>
              <w:spacing w:line="276" w:lineRule="auto"/>
              <w:contextualSpacing/>
              <w:jc w:val="right"/>
              <w:rPr>
                <w:rFonts w:cs="Arial"/>
                <w:szCs w:val="20"/>
              </w:rPr>
            </w:pPr>
            <w:r>
              <w:rPr>
                <w:rFonts w:cs="Arial"/>
                <w:szCs w:val="20"/>
              </w:rPr>
              <w:t>578</w:t>
            </w:r>
          </w:p>
        </w:tc>
      </w:tr>
      <w:tr w:rsidR="0051727F" w:rsidRPr="00382A62" w14:paraId="34951D29" w14:textId="77777777" w:rsidTr="007D00B2">
        <w:trPr>
          <w:trHeight w:val="255"/>
          <w:jc w:val="center"/>
        </w:trPr>
        <w:tc>
          <w:tcPr>
            <w:tcW w:w="4106" w:type="dxa"/>
            <w:shd w:val="clear" w:color="auto" w:fill="auto"/>
            <w:noWrap/>
            <w:vAlign w:val="bottom"/>
            <w:hideMark/>
          </w:tcPr>
          <w:p w14:paraId="0ED5CBFE" w14:textId="2C12E4AA" w:rsidR="0051727F" w:rsidRPr="00382A62" w:rsidRDefault="0051727F" w:rsidP="0051727F">
            <w:pPr>
              <w:spacing w:line="276" w:lineRule="auto"/>
              <w:contextualSpacing/>
              <w:rPr>
                <w:rFonts w:cs="Arial"/>
                <w:szCs w:val="20"/>
              </w:rPr>
            </w:pPr>
            <w:r w:rsidRPr="00382A62">
              <w:rPr>
                <w:rFonts w:cs="Arial"/>
                <w:szCs w:val="20"/>
              </w:rPr>
              <w:t>Compañía Cervecera Nicaragua, S.A.</w:t>
            </w:r>
          </w:p>
        </w:tc>
        <w:tc>
          <w:tcPr>
            <w:tcW w:w="2906" w:type="dxa"/>
            <w:shd w:val="clear" w:color="auto" w:fill="auto"/>
            <w:noWrap/>
            <w:vAlign w:val="center"/>
          </w:tcPr>
          <w:p w14:paraId="3AFF8B4B" w14:textId="05C238D1" w:rsidR="0051727F" w:rsidRPr="00382A62" w:rsidRDefault="0051727F" w:rsidP="0051727F">
            <w:pPr>
              <w:spacing w:line="276" w:lineRule="auto"/>
              <w:contextualSpacing/>
              <w:jc w:val="right"/>
              <w:rPr>
                <w:rFonts w:cs="Arial"/>
                <w:szCs w:val="20"/>
              </w:rPr>
            </w:pPr>
            <w:r w:rsidRPr="00382A62">
              <w:rPr>
                <w:rFonts w:cs="Arial"/>
                <w:szCs w:val="20"/>
              </w:rPr>
              <w:t>3.616</w:t>
            </w:r>
          </w:p>
        </w:tc>
        <w:tc>
          <w:tcPr>
            <w:tcW w:w="2906" w:type="dxa"/>
            <w:vAlign w:val="center"/>
          </w:tcPr>
          <w:p w14:paraId="788F82AD" w14:textId="77777777" w:rsidR="0051727F" w:rsidRPr="00382A62" w:rsidRDefault="0051727F" w:rsidP="0051727F">
            <w:pPr>
              <w:spacing w:line="276" w:lineRule="auto"/>
              <w:contextualSpacing/>
              <w:jc w:val="right"/>
              <w:rPr>
                <w:rFonts w:cs="Arial"/>
                <w:szCs w:val="20"/>
              </w:rPr>
            </w:pPr>
            <w:r w:rsidRPr="00382A62">
              <w:rPr>
                <w:rFonts w:cs="Arial"/>
                <w:szCs w:val="20"/>
              </w:rPr>
              <w:t>1.609</w:t>
            </w:r>
          </w:p>
        </w:tc>
      </w:tr>
      <w:tr w:rsidR="00744A22" w:rsidRPr="00382A62" w14:paraId="63F643CD" w14:textId="77777777" w:rsidTr="007D00B2">
        <w:trPr>
          <w:trHeight w:val="255"/>
          <w:jc w:val="center"/>
        </w:trPr>
        <w:tc>
          <w:tcPr>
            <w:tcW w:w="4106" w:type="dxa"/>
            <w:shd w:val="clear" w:color="auto" w:fill="auto"/>
            <w:noWrap/>
            <w:vAlign w:val="bottom"/>
          </w:tcPr>
          <w:p w14:paraId="67A8A085" w14:textId="0CDABCD3" w:rsidR="00744A22" w:rsidRPr="00382A62" w:rsidRDefault="00092D24" w:rsidP="0051727F">
            <w:pPr>
              <w:spacing w:line="276" w:lineRule="auto"/>
              <w:contextualSpacing/>
              <w:rPr>
                <w:rFonts w:cs="Arial"/>
                <w:szCs w:val="20"/>
              </w:rPr>
            </w:pPr>
            <w:r w:rsidRPr="00092D24">
              <w:rPr>
                <w:rFonts w:cs="Arial"/>
                <w:szCs w:val="20"/>
              </w:rPr>
              <w:t>Vidriera Guatemalteca S.A.</w:t>
            </w:r>
          </w:p>
        </w:tc>
        <w:tc>
          <w:tcPr>
            <w:tcW w:w="2906" w:type="dxa"/>
            <w:shd w:val="clear" w:color="auto" w:fill="auto"/>
            <w:noWrap/>
            <w:vAlign w:val="center"/>
          </w:tcPr>
          <w:p w14:paraId="4B22F4D1" w14:textId="3E8A979C" w:rsidR="00744A22" w:rsidRPr="00382A62" w:rsidRDefault="00092D24" w:rsidP="0051727F">
            <w:pPr>
              <w:spacing w:line="276" w:lineRule="auto"/>
              <w:contextualSpacing/>
              <w:jc w:val="right"/>
              <w:rPr>
                <w:rFonts w:cs="Arial"/>
                <w:szCs w:val="20"/>
              </w:rPr>
            </w:pPr>
            <w:r>
              <w:rPr>
                <w:rFonts w:cs="Arial"/>
                <w:szCs w:val="20"/>
              </w:rPr>
              <w:t>-</w:t>
            </w:r>
          </w:p>
        </w:tc>
        <w:tc>
          <w:tcPr>
            <w:tcW w:w="2906" w:type="dxa"/>
            <w:vAlign w:val="center"/>
          </w:tcPr>
          <w:p w14:paraId="1716E25A" w14:textId="175DCDED" w:rsidR="00744A22" w:rsidRPr="00382A62" w:rsidRDefault="00092D24" w:rsidP="0051727F">
            <w:pPr>
              <w:spacing w:line="276" w:lineRule="auto"/>
              <w:contextualSpacing/>
              <w:jc w:val="right"/>
              <w:rPr>
                <w:rFonts w:cs="Arial"/>
                <w:szCs w:val="20"/>
              </w:rPr>
            </w:pPr>
            <w:r w:rsidRPr="00092D24">
              <w:rPr>
                <w:rFonts w:cs="Arial"/>
                <w:szCs w:val="20"/>
              </w:rPr>
              <w:t>3,770</w:t>
            </w:r>
          </w:p>
        </w:tc>
      </w:tr>
      <w:tr w:rsidR="0051727F" w:rsidRPr="00382A62" w14:paraId="494CAECE" w14:textId="77777777" w:rsidTr="007D00B2">
        <w:trPr>
          <w:trHeight w:val="255"/>
          <w:jc w:val="center"/>
        </w:trPr>
        <w:tc>
          <w:tcPr>
            <w:tcW w:w="4106" w:type="dxa"/>
            <w:shd w:val="clear" w:color="auto" w:fill="auto"/>
            <w:vAlign w:val="center"/>
            <w:hideMark/>
          </w:tcPr>
          <w:p w14:paraId="578C808A" w14:textId="77777777" w:rsidR="0051727F" w:rsidRPr="00382A62" w:rsidRDefault="0051727F" w:rsidP="0051727F">
            <w:pPr>
              <w:spacing w:line="276" w:lineRule="auto"/>
              <w:contextualSpacing/>
              <w:rPr>
                <w:rFonts w:cs="Arial"/>
                <w:b/>
                <w:bCs/>
                <w:szCs w:val="20"/>
              </w:rPr>
            </w:pPr>
            <w:r w:rsidRPr="00382A62">
              <w:rPr>
                <w:rFonts w:cs="Arial"/>
                <w:b/>
                <w:bCs/>
                <w:szCs w:val="20"/>
              </w:rPr>
              <w:t> Total</w:t>
            </w:r>
          </w:p>
        </w:tc>
        <w:tc>
          <w:tcPr>
            <w:tcW w:w="2906" w:type="dxa"/>
            <w:shd w:val="clear" w:color="auto" w:fill="auto"/>
            <w:vAlign w:val="center"/>
          </w:tcPr>
          <w:p w14:paraId="442C1562" w14:textId="7237C5F3" w:rsidR="0051727F" w:rsidRPr="00382A62" w:rsidRDefault="0051727F" w:rsidP="0051727F">
            <w:pPr>
              <w:spacing w:line="276" w:lineRule="auto"/>
              <w:contextualSpacing/>
              <w:jc w:val="right"/>
              <w:rPr>
                <w:rFonts w:cs="Arial"/>
                <w:b/>
                <w:bCs/>
                <w:szCs w:val="20"/>
              </w:rPr>
            </w:pPr>
            <w:r w:rsidRPr="00382A62">
              <w:rPr>
                <w:rFonts w:cs="Arial"/>
                <w:b/>
                <w:bCs/>
                <w:szCs w:val="20"/>
              </w:rPr>
              <w:t>15.654</w:t>
            </w:r>
          </w:p>
        </w:tc>
        <w:tc>
          <w:tcPr>
            <w:tcW w:w="2906" w:type="dxa"/>
            <w:vAlign w:val="center"/>
          </w:tcPr>
          <w:p w14:paraId="6A3D35FA" w14:textId="62E467A5" w:rsidR="0051727F" w:rsidRPr="00382A62" w:rsidRDefault="00092D24" w:rsidP="0051727F">
            <w:pPr>
              <w:spacing w:line="276" w:lineRule="auto"/>
              <w:contextualSpacing/>
              <w:jc w:val="right"/>
              <w:rPr>
                <w:rFonts w:cs="Arial"/>
                <w:b/>
                <w:bCs/>
                <w:szCs w:val="20"/>
              </w:rPr>
            </w:pPr>
            <w:r w:rsidRPr="00092D24">
              <w:rPr>
                <w:rFonts w:cs="Arial"/>
                <w:b/>
                <w:bCs/>
                <w:szCs w:val="20"/>
              </w:rPr>
              <w:t>12,453</w:t>
            </w:r>
          </w:p>
        </w:tc>
      </w:tr>
      <w:tr w:rsidR="0051727F" w:rsidRPr="00382A62" w14:paraId="75929708" w14:textId="77777777" w:rsidTr="007D00B2">
        <w:trPr>
          <w:trHeight w:val="255"/>
          <w:jc w:val="center"/>
        </w:trPr>
        <w:tc>
          <w:tcPr>
            <w:tcW w:w="9918" w:type="dxa"/>
            <w:gridSpan w:val="3"/>
            <w:shd w:val="clear" w:color="auto" w:fill="auto"/>
            <w:vAlign w:val="center"/>
          </w:tcPr>
          <w:p w14:paraId="1DDAFFC3" w14:textId="77777777" w:rsidR="0051727F" w:rsidRPr="00382A62" w:rsidRDefault="0051727F" w:rsidP="0051727F">
            <w:pPr>
              <w:spacing w:line="276" w:lineRule="auto"/>
              <w:contextualSpacing/>
              <w:jc w:val="center"/>
              <w:rPr>
                <w:rFonts w:cs="Arial"/>
                <w:b/>
                <w:bCs/>
                <w:szCs w:val="20"/>
              </w:rPr>
            </w:pPr>
            <w:r w:rsidRPr="00382A62">
              <w:rPr>
                <w:rFonts w:cs="Arial"/>
                <w:b/>
                <w:bCs/>
                <w:szCs w:val="20"/>
              </w:rPr>
              <w:t>Ingreso por venta de producto</w:t>
            </w:r>
          </w:p>
        </w:tc>
      </w:tr>
      <w:tr w:rsidR="00ED1263" w:rsidRPr="00382A62" w14:paraId="5841F7B9" w14:textId="77777777" w:rsidTr="007D00B2">
        <w:trPr>
          <w:trHeight w:val="255"/>
          <w:jc w:val="center"/>
        </w:trPr>
        <w:tc>
          <w:tcPr>
            <w:tcW w:w="4106" w:type="dxa"/>
            <w:shd w:val="clear" w:color="auto" w:fill="auto"/>
            <w:vAlign w:val="center"/>
          </w:tcPr>
          <w:p w14:paraId="13B8FAC8" w14:textId="6BDB08B9" w:rsidR="00ED1263" w:rsidRPr="00382A62" w:rsidRDefault="00ED1263" w:rsidP="00ED1263">
            <w:pPr>
              <w:spacing w:line="276" w:lineRule="auto"/>
              <w:contextualSpacing/>
              <w:rPr>
                <w:rFonts w:cs="Arial"/>
                <w:szCs w:val="20"/>
              </w:rPr>
            </w:pPr>
            <w:r w:rsidRPr="00382A62">
              <w:rPr>
                <w:rFonts w:cs="Arial"/>
                <w:szCs w:val="20"/>
              </w:rPr>
              <w:t>Heineken Internacional, B.V.</w:t>
            </w:r>
          </w:p>
        </w:tc>
        <w:tc>
          <w:tcPr>
            <w:tcW w:w="2906" w:type="dxa"/>
            <w:shd w:val="clear" w:color="auto" w:fill="auto"/>
            <w:vAlign w:val="center"/>
          </w:tcPr>
          <w:p w14:paraId="3A797B49" w14:textId="7E35C961" w:rsidR="00ED1263" w:rsidRPr="00382A62" w:rsidRDefault="00ED1263" w:rsidP="00ED1263">
            <w:pPr>
              <w:spacing w:line="276" w:lineRule="auto"/>
              <w:contextualSpacing/>
              <w:jc w:val="right"/>
              <w:rPr>
                <w:rFonts w:cs="Arial"/>
                <w:szCs w:val="20"/>
              </w:rPr>
            </w:pPr>
            <w:r w:rsidRPr="00382A62">
              <w:rPr>
                <w:rFonts w:cs="Arial"/>
                <w:szCs w:val="20"/>
              </w:rPr>
              <w:t>2.551</w:t>
            </w:r>
          </w:p>
        </w:tc>
        <w:tc>
          <w:tcPr>
            <w:tcW w:w="2906" w:type="dxa"/>
            <w:vAlign w:val="center"/>
          </w:tcPr>
          <w:p w14:paraId="617B74F0" w14:textId="30746011" w:rsidR="00ED1263" w:rsidRPr="00382A62" w:rsidRDefault="00ED1263" w:rsidP="00ED1263">
            <w:pPr>
              <w:spacing w:line="276" w:lineRule="auto"/>
              <w:contextualSpacing/>
              <w:jc w:val="right"/>
              <w:rPr>
                <w:rFonts w:cs="Arial"/>
                <w:szCs w:val="20"/>
              </w:rPr>
            </w:pPr>
            <w:r w:rsidRPr="00ED1263">
              <w:rPr>
                <w:rFonts w:cs="Arial"/>
                <w:szCs w:val="20"/>
              </w:rPr>
              <w:t>2,459</w:t>
            </w:r>
          </w:p>
        </w:tc>
      </w:tr>
      <w:tr w:rsidR="00ED1263" w:rsidRPr="00382A62" w14:paraId="72C45390" w14:textId="77777777" w:rsidTr="007D00B2">
        <w:trPr>
          <w:trHeight w:val="255"/>
          <w:jc w:val="center"/>
        </w:trPr>
        <w:tc>
          <w:tcPr>
            <w:tcW w:w="4106" w:type="dxa"/>
            <w:shd w:val="clear" w:color="auto" w:fill="auto"/>
            <w:vAlign w:val="center"/>
          </w:tcPr>
          <w:p w14:paraId="75C95A8E" w14:textId="4CEA9F89" w:rsidR="00ED1263" w:rsidRPr="00382A62" w:rsidRDefault="00ED1263" w:rsidP="00ED1263">
            <w:pPr>
              <w:spacing w:line="276" w:lineRule="auto"/>
              <w:contextualSpacing/>
              <w:rPr>
                <w:rFonts w:cs="Arial"/>
                <w:szCs w:val="20"/>
              </w:rPr>
            </w:pPr>
            <w:r w:rsidRPr="00382A62">
              <w:rPr>
                <w:rFonts w:cs="Arial"/>
                <w:szCs w:val="20"/>
              </w:rPr>
              <w:t>Compañía Cervecera de Nicaragua, S.A.</w:t>
            </w:r>
          </w:p>
        </w:tc>
        <w:tc>
          <w:tcPr>
            <w:tcW w:w="2906" w:type="dxa"/>
            <w:shd w:val="clear" w:color="auto" w:fill="auto"/>
            <w:vAlign w:val="center"/>
          </w:tcPr>
          <w:p w14:paraId="48A3FE6F" w14:textId="50F46146" w:rsidR="00ED1263" w:rsidRPr="00382A62" w:rsidRDefault="00ED1263" w:rsidP="00ED1263">
            <w:pPr>
              <w:spacing w:line="276" w:lineRule="auto"/>
              <w:contextualSpacing/>
              <w:jc w:val="right"/>
              <w:rPr>
                <w:rFonts w:cs="Arial"/>
                <w:szCs w:val="20"/>
              </w:rPr>
            </w:pPr>
            <w:r w:rsidRPr="00382A62">
              <w:rPr>
                <w:rFonts w:cs="Arial"/>
                <w:szCs w:val="20"/>
              </w:rPr>
              <w:t>5.372</w:t>
            </w:r>
          </w:p>
        </w:tc>
        <w:tc>
          <w:tcPr>
            <w:tcW w:w="2906" w:type="dxa"/>
            <w:vAlign w:val="center"/>
          </w:tcPr>
          <w:p w14:paraId="5664C41C" w14:textId="512F9173" w:rsidR="00ED1263" w:rsidRPr="00382A62" w:rsidRDefault="00C4564E" w:rsidP="00ED1263">
            <w:pPr>
              <w:spacing w:line="276" w:lineRule="auto"/>
              <w:contextualSpacing/>
              <w:jc w:val="right"/>
              <w:rPr>
                <w:rFonts w:cs="Arial"/>
                <w:szCs w:val="20"/>
              </w:rPr>
            </w:pPr>
            <w:r w:rsidRPr="00C4564E">
              <w:rPr>
                <w:rFonts w:cs="Arial"/>
                <w:szCs w:val="20"/>
              </w:rPr>
              <w:t>9,666</w:t>
            </w:r>
          </w:p>
        </w:tc>
      </w:tr>
      <w:tr w:rsidR="00ED1263" w:rsidRPr="00382A62" w14:paraId="4272A337" w14:textId="77777777" w:rsidTr="007D00B2">
        <w:trPr>
          <w:trHeight w:val="255"/>
          <w:jc w:val="center"/>
        </w:trPr>
        <w:tc>
          <w:tcPr>
            <w:tcW w:w="4106" w:type="dxa"/>
            <w:shd w:val="clear" w:color="auto" w:fill="auto"/>
            <w:vAlign w:val="center"/>
          </w:tcPr>
          <w:p w14:paraId="70C6C301" w14:textId="5FF72E33" w:rsidR="00ED1263" w:rsidRPr="00382A62" w:rsidRDefault="00ED1263" w:rsidP="00ED1263">
            <w:pPr>
              <w:spacing w:line="276" w:lineRule="auto"/>
              <w:contextualSpacing/>
              <w:rPr>
                <w:rFonts w:cs="Arial"/>
                <w:szCs w:val="20"/>
              </w:rPr>
            </w:pPr>
            <w:r w:rsidRPr="00382A62">
              <w:rPr>
                <w:rFonts w:cs="Arial"/>
                <w:szCs w:val="20"/>
              </w:rPr>
              <w:t>Compañía Distribuidora de Nicaragua, S.A.</w:t>
            </w:r>
          </w:p>
        </w:tc>
        <w:tc>
          <w:tcPr>
            <w:tcW w:w="2906" w:type="dxa"/>
            <w:shd w:val="clear" w:color="auto" w:fill="auto"/>
            <w:vAlign w:val="center"/>
          </w:tcPr>
          <w:p w14:paraId="1433FBC5" w14:textId="465A5152" w:rsidR="00ED1263" w:rsidRPr="00382A62" w:rsidRDefault="00ED1263" w:rsidP="00ED1263">
            <w:pPr>
              <w:spacing w:line="276" w:lineRule="auto"/>
              <w:contextualSpacing/>
              <w:jc w:val="right"/>
              <w:rPr>
                <w:rFonts w:cs="Arial"/>
                <w:szCs w:val="20"/>
              </w:rPr>
            </w:pPr>
            <w:r w:rsidRPr="00382A62">
              <w:rPr>
                <w:rFonts w:cs="Arial"/>
                <w:szCs w:val="20"/>
              </w:rPr>
              <w:t>3.130</w:t>
            </w:r>
          </w:p>
        </w:tc>
        <w:tc>
          <w:tcPr>
            <w:tcW w:w="2906" w:type="dxa"/>
            <w:vAlign w:val="center"/>
          </w:tcPr>
          <w:p w14:paraId="294E7887" w14:textId="059F18FA" w:rsidR="00ED1263" w:rsidRPr="00382A62" w:rsidRDefault="00C4564E" w:rsidP="00ED1263">
            <w:pPr>
              <w:spacing w:line="276" w:lineRule="auto"/>
              <w:contextualSpacing/>
              <w:jc w:val="right"/>
              <w:rPr>
                <w:rFonts w:cs="Arial"/>
                <w:szCs w:val="20"/>
              </w:rPr>
            </w:pPr>
            <w:r w:rsidRPr="00C4564E">
              <w:rPr>
                <w:rFonts w:cs="Arial"/>
                <w:szCs w:val="20"/>
              </w:rPr>
              <w:t>3,643</w:t>
            </w:r>
          </w:p>
        </w:tc>
      </w:tr>
      <w:tr w:rsidR="00ED1263" w:rsidRPr="00382A62" w14:paraId="69B5DA9B" w14:textId="77777777" w:rsidTr="007D00B2">
        <w:trPr>
          <w:trHeight w:val="255"/>
          <w:jc w:val="center"/>
        </w:trPr>
        <w:tc>
          <w:tcPr>
            <w:tcW w:w="4106" w:type="dxa"/>
            <w:shd w:val="clear" w:color="auto" w:fill="auto"/>
            <w:vAlign w:val="center"/>
          </w:tcPr>
          <w:p w14:paraId="42EC5C75" w14:textId="28B435CB" w:rsidR="00ED1263" w:rsidRPr="00382A62" w:rsidRDefault="00ED1263" w:rsidP="00ED1263">
            <w:pPr>
              <w:spacing w:line="276" w:lineRule="auto"/>
              <w:contextualSpacing/>
              <w:rPr>
                <w:rFonts w:cs="Arial"/>
                <w:szCs w:val="20"/>
              </w:rPr>
            </w:pPr>
            <w:r w:rsidRPr="00382A62">
              <w:rPr>
                <w:rFonts w:cs="Arial"/>
                <w:szCs w:val="20"/>
              </w:rPr>
              <w:t>Cervecería Panamá, S.A.</w:t>
            </w:r>
          </w:p>
        </w:tc>
        <w:tc>
          <w:tcPr>
            <w:tcW w:w="2906" w:type="dxa"/>
            <w:shd w:val="clear" w:color="auto" w:fill="auto"/>
            <w:vAlign w:val="center"/>
          </w:tcPr>
          <w:p w14:paraId="00A3C86E" w14:textId="096B73F0" w:rsidR="00ED1263" w:rsidRPr="00382A62" w:rsidRDefault="00ED1263" w:rsidP="00ED1263">
            <w:pPr>
              <w:spacing w:line="276" w:lineRule="auto"/>
              <w:contextualSpacing/>
              <w:jc w:val="right"/>
              <w:rPr>
                <w:rFonts w:cs="Arial"/>
                <w:szCs w:val="20"/>
              </w:rPr>
            </w:pPr>
            <w:r w:rsidRPr="00382A62">
              <w:rPr>
                <w:rFonts w:cs="Arial"/>
                <w:szCs w:val="20"/>
              </w:rPr>
              <w:t>323</w:t>
            </w:r>
          </w:p>
        </w:tc>
        <w:tc>
          <w:tcPr>
            <w:tcW w:w="2906" w:type="dxa"/>
            <w:vAlign w:val="center"/>
          </w:tcPr>
          <w:p w14:paraId="264CC1DC" w14:textId="7712FD59" w:rsidR="00ED1263" w:rsidRPr="00382A62" w:rsidRDefault="00C4564E" w:rsidP="00ED1263">
            <w:pPr>
              <w:spacing w:line="276" w:lineRule="auto"/>
              <w:contextualSpacing/>
              <w:jc w:val="right"/>
              <w:rPr>
                <w:rFonts w:cs="Arial"/>
                <w:szCs w:val="20"/>
              </w:rPr>
            </w:pPr>
            <w:r>
              <w:rPr>
                <w:rFonts w:cs="Arial"/>
                <w:szCs w:val="20"/>
              </w:rPr>
              <w:t>14</w:t>
            </w:r>
          </w:p>
        </w:tc>
      </w:tr>
      <w:tr w:rsidR="00ED1263" w:rsidRPr="00382A62" w14:paraId="1D2FBA2C" w14:textId="77777777" w:rsidTr="007D00B2">
        <w:trPr>
          <w:trHeight w:val="255"/>
          <w:jc w:val="center"/>
        </w:trPr>
        <w:tc>
          <w:tcPr>
            <w:tcW w:w="4106" w:type="dxa"/>
            <w:shd w:val="clear" w:color="auto" w:fill="auto"/>
            <w:vAlign w:val="center"/>
          </w:tcPr>
          <w:p w14:paraId="00904ECE" w14:textId="77777777" w:rsidR="00ED1263" w:rsidRPr="00382A62" w:rsidRDefault="00ED1263" w:rsidP="00ED1263">
            <w:pPr>
              <w:spacing w:line="276" w:lineRule="auto"/>
              <w:contextualSpacing/>
              <w:rPr>
                <w:rFonts w:cs="Arial"/>
                <w:b/>
                <w:bCs/>
                <w:szCs w:val="20"/>
              </w:rPr>
            </w:pPr>
            <w:r w:rsidRPr="00382A62">
              <w:rPr>
                <w:rFonts w:cs="Arial"/>
                <w:b/>
                <w:bCs/>
                <w:szCs w:val="20"/>
              </w:rPr>
              <w:t xml:space="preserve"> Total</w:t>
            </w:r>
          </w:p>
        </w:tc>
        <w:tc>
          <w:tcPr>
            <w:tcW w:w="2906" w:type="dxa"/>
            <w:shd w:val="clear" w:color="auto" w:fill="auto"/>
            <w:vAlign w:val="center"/>
          </w:tcPr>
          <w:p w14:paraId="3B2BF294" w14:textId="3C514D0D" w:rsidR="00ED1263" w:rsidRPr="00382A62" w:rsidRDefault="00ED1263" w:rsidP="00ED1263">
            <w:pPr>
              <w:spacing w:line="276" w:lineRule="auto"/>
              <w:contextualSpacing/>
              <w:jc w:val="right"/>
              <w:rPr>
                <w:rFonts w:cs="Arial"/>
                <w:b/>
                <w:bCs/>
                <w:szCs w:val="20"/>
              </w:rPr>
            </w:pPr>
            <w:r w:rsidRPr="00382A62">
              <w:rPr>
                <w:rFonts w:cs="Arial"/>
                <w:b/>
                <w:bCs/>
                <w:szCs w:val="20"/>
              </w:rPr>
              <w:t>11.376</w:t>
            </w:r>
          </w:p>
        </w:tc>
        <w:tc>
          <w:tcPr>
            <w:tcW w:w="2906" w:type="dxa"/>
            <w:vAlign w:val="center"/>
          </w:tcPr>
          <w:p w14:paraId="2005E505" w14:textId="4977D774" w:rsidR="00ED1263" w:rsidRPr="00382A62" w:rsidRDefault="000F4F3D" w:rsidP="00ED1263">
            <w:pPr>
              <w:spacing w:line="276" w:lineRule="auto"/>
              <w:contextualSpacing/>
              <w:jc w:val="right"/>
              <w:rPr>
                <w:rFonts w:cs="Arial"/>
                <w:b/>
                <w:bCs/>
                <w:szCs w:val="20"/>
              </w:rPr>
            </w:pPr>
            <w:r w:rsidRPr="000F4F3D">
              <w:rPr>
                <w:rFonts w:cs="Arial"/>
                <w:b/>
                <w:bCs/>
                <w:szCs w:val="20"/>
              </w:rPr>
              <w:t>15,782</w:t>
            </w:r>
          </w:p>
        </w:tc>
      </w:tr>
      <w:tr w:rsidR="00ED1263" w:rsidRPr="00382A62" w14:paraId="3FCDB2D6" w14:textId="77777777" w:rsidTr="007D00B2">
        <w:trPr>
          <w:trHeight w:val="255"/>
          <w:jc w:val="center"/>
        </w:trPr>
        <w:tc>
          <w:tcPr>
            <w:tcW w:w="9918" w:type="dxa"/>
            <w:gridSpan w:val="3"/>
            <w:shd w:val="clear" w:color="auto" w:fill="auto"/>
            <w:noWrap/>
            <w:vAlign w:val="center"/>
            <w:hideMark/>
          </w:tcPr>
          <w:p w14:paraId="4B05FD28" w14:textId="77777777" w:rsidR="00ED1263" w:rsidRPr="00382A62" w:rsidRDefault="00ED1263" w:rsidP="00ED1263">
            <w:pPr>
              <w:spacing w:line="276" w:lineRule="auto"/>
              <w:contextualSpacing/>
              <w:jc w:val="center"/>
              <w:rPr>
                <w:rFonts w:cs="Arial"/>
                <w:b/>
                <w:bCs/>
                <w:i/>
                <w:iCs/>
                <w:szCs w:val="20"/>
              </w:rPr>
            </w:pPr>
            <w:r w:rsidRPr="00382A62">
              <w:rPr>
                <w:rFonts w:cs="Arial"/>
                <w:b/>
                <w:bCs/>
                <w:i/>
                <w:iCs/>
                <w:szCs w:val="20"/>
              </w:rPr>
              <w:t>Ingreso por intereses:</w:t>
            </w:r>
          </w:p>
        </w:tc>
      </w:tr>
      <w:tr w:rsidR="00ED1263" w:rsidRPr="00382A62" w14:paraId="3D9930AC" w14:textId="77777777" w:rsidTr="007D00B2">
        <w:trPr>
          <w:trHeight w:val="255"/>
          <w:jc w:val="center"/>
        </w:trPr>
        <w:tc>
          <w:tcPr>
            <w:tcW w:w="4106" w:type="dxa"/>
            <w:shd w:val="clear" w:color="auto" w:fill="auto"/>
            <w:noWrap/>
            <w:vAlign w:val="bottom"/>
            <w:hideMark/>
          </w:tcPr>
          <w:p w14:paraId="51528446" w14:textId="2480695D" w:rsidR="00ED1263" w:rsidRPr="00382A62" w:rsidRDefault="00ED1263" w:rsidP="00ED1263">
            <w:pPr>
              <w:spacing w:line="276" w:lineRule="auto"/>
              <w:contextualSpacing/>
              <w:rPr>
                <w:rFonts w:cs="Arial"/>
                <w:szCs w:val="20"/>
              </w:rPr>
            </w:pPr>
            <w:r w:rsidRPr="00382A62">
              <w:rPr>
                <w:rFonts w:cs="Arial"/>
                <w:szCs w:val="20"/>
              </w:rPr>
              <w:t>Cervecería Panamá, S.A.</w:t>
            </w:r>
          </w:p>
        </w:tc>
        <w:tc>
          <w:tcPr>
            <w:tcW w:w="2906" w:type="dxa"/>
            <w:shd w:val="clear" w:color="auto" w:fill="auto"/>
            <w:noWrap/>
            <w:vAlign w:val="center"/>
          </w:tcPr>
          <w:p w14:paraId="65A944AC" w14:textId="775DEE4A" w:rsidR="00ED1263" w:rsidRPr="00382A62" w:rsidRDefault="00744A22" w:rsidP="00ED1263">
            <w:pPr>
              <w:spacing w:line="276" w:lineRule="auto"/>
              <w:contextualSpacing/>
              <w:jc w:val="right"/>
              <w:rPr>
                <w:rFonts w:cs="Arial"/>
                <w:b/>
                <w:bCs/>
                <w:szCs w:val="20"/>
              </w:rPr>
            </w:pPr>
            <w:r>
              <w:rPr>
                <w:rFonts w:cs="Arial"/>
                <w:b/>
                <w:bCs/>
                <w:szCs w:val="20"/>
              </w:rPr>
              <w:t>323</w:t>
            </w:r>
          </w:p>
        </w:tc>
        <w:tc>
          <w:tcPr>
            <w:tcW w:w="2906" w:type="dxa"/>
          </w:tcPr>
          <w:p w14:paraId="29BC731F" w14:textId="26306655" w:rsidR="00ED1263" w:rsidRPr="00382A62" w:rsidRDefault="00744A22" w:rsidP="00ED1263">
            <w:pPr>
              <w:spacing w:line="276" w:lineRule="auto"/>
              <w:contextualSpacing/>
              <w:jc w:val="right"/>
              <w:rPr>
                <w:rFonts w:cs="Arial"/>
                <w:b/>
                <w:bCs/>
                <w:szCs w:val="20"/>
              </w:rPr>
            </w:pPr>
            <w:r>
              <w:rPr>
                <w:rFonts w:cs="Arial"/>
                <w:b/>
                <w:bCs/>
                <w:szCs w:val="20"/>
              </w:rPr>
              <w:t>287</w:t>
            </w:r>
          </w:p>
        </w:tc>
      </w:tr>
      <w:tr w:rsidR="00ED1263" w:rsidRPr="00382A62" w14:paraId="78A97C8E" w14:textId="77777777" w:rsidTr="00A26D54">
        <w:trPr>
          <w:trHeight w:val="591"/>
          <w:jc w:val="center"/>
        </w:trPr>
        <w:tc>
          <w:tcPr>
            <w:tcW w:w="9918" w:type="dxa"/>
            <w:gridSpan w:val="3"/>
            <w:shd w:val="clear" w:color="auto" w:fill="auto"/>
            <w:noWrap/>
            <w:vAlign w:val="center"/>
            <w:hideMark/>
          </w:tcPr>
          <w:p w14:paraId="38ED0A1B" w14:textId="77777777" w:rsidR="00ED1263" w:rsidRPr="00382A62" w:rsidRDefault="00ED1263" w:rsidP="00ED1263">
            <w:pPr>
              <w:spacing w:line="276" w:lineRule="auto"/>
              <w:contextualSpacing/>
              <w:jc w:val="center"/>
              <w:rPr>
                <w:rFonts w:cs="Arial"/>
                <w:b/>
                <w:bCs/>
                <w:i/>
                <w:iCs/>
                <w:szCs w:val="20"/>
              </w:rPr>
            </w:pPr>
            <w:r w:rsidRPr="00382A62">
              <w:rPr>
                <w:rFonts w:cs="Arial"/>
                <w:b/>
                <w:bCs/>
                <w:i/>
                <w:iCs/>
                <w:szCs w:val="20"/>
              </w:rPr>
              <w:t>Reintegro de gastos:</w:t>
            </w:r>
          </w:p>
        </w:tc>
      </w:tr>
      <w:tr w:rsidR="00ED1263" w:rsidRPr="00382A62" w14:paraId="37A0288B" w14:textId="77777777" w:rsidTr="007D00B2">
        <w:trPr>
          <w:trHeight w:val="255"/>
          <w:jc w:val="center"/>
        </w:trPr>
        <w:tc>
          <w:tcPr>
            <w:tcW w:w="4106" w:type="dxa"/>
            <w:shd w:val="clear" w:color="auto" w:fill="auto"/>
            <w:noWrap/>
            <w:vAlign w:val="bottom"/>
            <w:hideMark/>
          </w:tcPr>
          <w:p w14:paraId="191C501F" w14:textId="6D56EC99" w:rsidR="00ED1263" w:rsidRPr="00382A62" w:rsidRDefault="00ED1263" w:rsidP="00ED1263">
            <w:pPr>
              <w:spacing w:line="276" w:lineRule="auto"/>
              <w:contextualSpacing/>
              <w:rPr>
                <w:rFonts w:cs="Arial"/>
                <w:szCs w:val="20"/>
              </w:rPr>
            </w:pPr>
            <w:r w:rsidRPr="00382A62">
              <w:rPr>
                <w:rFonts w:cs="Arial"/>
                <w:szCs w:val="20"/>
              </w:rPr>
              <w:t>Heineken Internacional, B.V.</w:t>
            </w:r>
          </w:p>
        </w:tc>
        <w:tc>
          <w:tcPr>
            <w:tcW w:w="2906" w:type="dxa"/>
            <w:shd w:val="clear" w:color="auto" w:fill="auto"/>
            <w:noWrap/>
            <w:vAlign w:val="center"/>
          </w:tcPr>
          <w:p w14:paraId="6E3A648A" w14:textId="53AEC51F" w:rsidR="00ED1263" w:rsidRPr="00382A62" w:rsidRDefault="007C71B8" w:rsidP="00ED1263">
            <w:pPr>
              <w:spacing w:line="276" w:lineRule="auto"/>
              <w:contextualSpacing/>
              <w:jc w:val="right"/>
              <w:rPr>
                <w:rFonts w:cs="Arial"/>
                <w:b/>
                <w:bCs/>
                <w:szCs w:val="20"/>
              </w:rPr>
            </w:pPr>
            <w:r w:rsidRPr="00382A62">
              <w:rPr>
                <w:rFonts w:cs="Arial"/>
                <w:b/>
                <w:bCs/>
                <w:szCs w:val="20"/>
              </w:rPr>
              <w:t>292</w:t>
            </w:r>
          </w:p>
        </w:tc>
        <w:tc>
          <w:tcPr>
            <w:tcW w:w="2906" w:type="dxa"/>
            <w:vAlign w:val="center"/>
          </w:tcPr>
          <w:p w14:paraId="512FF393" w14:textId="1A0DD42E" w:rsidR="00ED1263" w:rsidRPr="00382A62" w:rsidRDefault="007C71B8" w:rsidP="00ED1263">
            <w:pPr>
              <w:spacing w:line="276" w:lineRule="auto"/>
              <w:contextualSpacing/>
              <w:jc w:val="right"/>
              <w:rPr>
                <w:rFonts w:cs="Arial"/>
                <w:b/>
                <w:bCs/>
                <w:szCs w:val="20"/>
              </w:rPr>
            </w:pPr>
            <w:r>
              <w:rPr>
                <w:rFonts w:cs="Arial"/>
                <w:b/>
                <w:bCs/>
                <w:szCs w:val="20"/>
              </w:rPr>
              <w:t>200</w:t>
            </w:r>
          </w:p>
        </w:tc>
      </w:tr>
      <w:tr w:rsidR="00ED1263" w:rsidRPr="00382A62" w14:paraId="35A5931E" w14:textId="77777777" w:rsidTr="007D00B2">
        <w:trPr>
          <w:trHeight w:val="255"/>
          <w:jc w:val="center"/>
        </w:trPr>
        <w:tc>
          <w:tcPr>
            <w:tcW w:w="9918" w:type="dxa"/>
            <w:gridSpan w:val="3"/>
            <w:shd w:val="clear" w:color="auto" w:fill="auto"/>
            <w:noWrap/>
            <w:vAlign w:val="center"/>
            <w:hideMark/>
          </w:tcPr>
          <w:p w14:paraId="164023AE" w14:textId="77777777" w:rsidR="00ED1263" w:rsidRPr="00382A62" w:rsidRDefault="00ED1263" w:rsidP="00ED1263">
            <w:pPr>
              <w:spacing w:line="276" w:lineRule="auto"/>
              <w:contextualSpacing/>
              <w:jc w:val="center"/>
              <w:rPr>
                <w:rFonts w:cs="Arial"/>
                <w:b/>
                <w:bCs/>
                <w:i/>
                <w:iCs/>
                <w:szCs w:val="20"/>
              </w:rPr>
            </w:pPr>
            <w:r w:rsidRPr="00382A62">
              <w:rPr>
                <w:rFonts w:cs="Arial"/>
                <w:b/>
                <w:bCs/>
                <w:i/>
                <w:iCs/>
                <w:szCs w:val="20"/>
              </w:rPr>
              <w:t>Dividendos recibidos:</w:t>
            </w:r>
          </w:p>
        </w:tc>
      </w:tr>
      <w:tr w:rsidR="00682A8A" w:rsidRPr="00382A62" w14:paraId="77B256EA" w14:textId="77777777" w:rsidTr="005D7668">
        <w:trPr>
          <w:trHeight w:val="255"/>
          <w:jc w:val="center"/>
        </w:trPr>
        <w:tc>
          <w:tcPr>
            <w:tcW w:w="4106" w:type="dxa"/>
            <w:shd w:val="clear" w:color="auto" w:fill="auto"/>
            <w:noWrap/>
            <w:vAlign w:val="center"/>
            <w:hideMark/>
          </w:tcPr>
          <w:p w14:paraId="2C09B5A0" w14:textId="7A3DA131" w:rsidR="00682A8A" w:rsidRPr="00382A62" w:rsidRDefault="00682A8A" w:rsidP="00682A8A">
            <w:pPr>
              <w:spacing w:line="276" w:lineRule="auto"/>
              <w:contextualSpacing/>
              <w:rPr>
                <w:rFonts w:cs="Arial"/>
                <w:szCs w:val="20"/>
              </w:rPr>
            </w:pPr>
            <w:r w:rsidRPr="00382A62">
              <w:rPr>
                <w:rFonts w:cs="Arial"/>
                <w:szCs w:val="20"/>
              </w:rPr>
              <w:t>Inversiones Cerveceras Centroamericanas, S.A.</w:t>
            </w:r>
          </w:p>
        </w:tc>
        <w:tc>
          <w:tcPr>
            <w:tcW w:w="2906" w:type="dxa"/>
            <w:shd w:val="clear" w:color="auto" w:fill="auto"/>
            <w:noWrap/>
            <w:vAlign w:val="center"/>
          </w:tcPr>
          <w:p w14:paraId="0B8978CB" w14:textId="294EE52E" w:rsidR="00682A8A" w:rsidRPr="00382A62" w:rsidRDefault="00682A8A" w:rsidP="00682A8A">
            <w:pPr>
              <w:spacing w:line="276" w:lineRule="auto"/>
              <w:contextualSpacing/>
              <w:jc w:val="right"/>
              <w:rPr>
                <w:rFonts w:cs="Arial"/>
                <w:szCs w:val="20"/>
              </w:rPr>
            </w:pPr>
            <w:r w:rsidRPr="00382A62">
              <w:rPr>
                <w:rFonts w:cs="Arial"/>
                <w:szCs w:val="20"/>
              </w:rPr>
              <w:t>11.696</w:t>
            </w:r>
          </w:p>
        </w:tc>
        <w:tc>
          <w:tcPr>
            <w:tcW w:w="2906" w:type="dxa"/>
          </w:tcPr>
          <w:p w14:paraId="33EBCA08" w14:textId="137EB0DC" w:rsidR="00682A8A" w:rsidRPr="00382A62" w:rsidRDefault="00682A8A" w:rsidP="00682A8A">
            <w:pPr>
              <w:spacing w:line="276" w:lineRule="auto"/>
              <w:contextualSpacing/>
              <w:jc w:val="right"/>
              <w:rPr>
                <w:rFonts w:cs="Arial"/>
                <w:szCs w:val="20"/>
              </w:rPr>
            </w:pPr>
            <w:r w:rsidRPr="00682A8A">
              <w:rPr>
                <w:rFonts w:cs="Arial"/>
                <w:szCs w:val="20"/>
              </w:rPr>
              <w:t>10,125</w:t>
            </w:r>
          </w:p>
        </w:tc>
      </w:tr>
      <w:tr w:rsidR="00682A8A" w:rsidRPr="00382A62" w14:paraId="07240A72" w14:textId="77777777" w:rsidTr="005D7668">
        <w:trPr>
          <w:trHeight w:val="255"/>
          <w:jc w:val="center"/>
        </w:trPr>
        <w:tc>
          <w:tcPr>
            <w:tcW w:w="4106" w:type="dxa"/>
            <w:shd w:val="clear" w:color="auto" w:fill="auto"/>
            <w:noWrap/>
            <w:vAlign w:val="center"/>
          </w:tcPr>
          <w:p w14:paraId="0FBD5030" w14:textId="3ABFA54A" w:rsidR="00682A8A" w:rsidRPr="00382A62" w:rsidRDefault="00682A8A" w:rsidP="00682A8A">
            <w:pPr>
              <w:spacing w:line="276" w:lineRule="auto"/>
              <w:contextualSpacing/>
              <w:rPr>
                <w:rFonts w:cs="Arial"/>
                <w:szCs w:val="20"/>
              </w:rPr>
            </w:pPr>
            <w:r w:rsidRPr="00382A62">
              <w:rPr>
                <w:rFonts w:cs="Arial"/>
                <w:szCs w:val="20"/>
              </w:rPr>
              <w:t>Empresas Comegua, S.A.</w:t>
            </w:r>
          </w:p>
        </w:tc>
        <w:tc>
          <w:tcPr>
            <w:tcW w:w="2906" w:type="dxa"/>
            <w:shd w:val="clear" w:color="auto" w:fill="auto"/>
            <w:noWrap/>
            <w:vAlign w:val="center"/>
          </w:tcPr>
          <w:p w14:paraId="6CB9FA9B" w14:textId="683CE920" w:rsidR="00682A8A" w:rsidRPr="00382A62" w:rsidRDefault="00682A8A" w:rsidP="00682A8A">
            <w:pPr>
              <w:spacing w:line="276" w:lineRule="auto"/>
              <w:contextualSpacing/>
              <w:jc w:val="right"/>
              <w:rPr>
                <w:rFonts w:cs="Arial"/>
                <w:szCs w:val="20"/>
              </w:rPr>
            </w:pPr>
            <w:r w:rsidRPr="00382A62">
              <w:rPr>
                <w:rFonts w:cs="Arial"/>
                <w:szCs w:val="20"/>
              </w:rPr>
              <w:t>3.292</w:t>
            </w:r>
          </w:p>
        </w:tc>
        <w:tc>
          <w:tcPr>
            <w:tcW w:w="2906" w:type="dxa"/>
          </w:tcPr>
          <w:p w14:paraId="35CFFCDA" w14:textId="452F6462" w:rsidR="00682A8A" w:rsidRPr="00382A62" w:rsidRDefault="00682A8A" w:rsidP="00682A8A">
            <w:pPr>
              <w:spacing w:line="276" w:lineRule="auto"/>
              <w:contextualSpacing/>
              <w:jc w:val="right"/>
              <w:rPr>
                <w:rFonts w:cs="Arial"/>
                <w:szCs w:val="20"/>
              </w:rPr>
            </w:pPr>
            <w:r w:rsidRPr="00682A8A">
              <w:rPr>
                <w:rFonts w:cs="Arial"/>
                <w:szCs w:val="20"/>
              </w:rPr>
              <w:t xml:space="preserve">3,400 </w:t>
            </w:r>
          </w:p>
        </w:tc>
      </w:tr>
      <w:tr w:rsidR="00682A8A" w:rsidRPr="00382A62" w14:paraId="2DF6CD93" w14:textId="77777777" w:rsidTr="005D7668">
        <w:trPr>
          <w:trHeight w:val="255"/>
          <w:jc w:val="center"/>
        </w:trPr>
        <w:tc>
          <w:tcPr>
            <w:tcW w:w="4106" w:type="dxa"/>
            <w:shd w:val="clear" w:color="auto" w:fill="auto"/>
            <w:noWrap/>
            <w:vAlign w:val="bottom"/>
            <w:hideMark/>
          </w:tcPr>
          <w:p w14:paraId="0CB16353" w14:textId="77777777" w:rsidR="00682A8A" w:rsidRPr="00382A62" w:rsidRDefault="00682A8A" w:rsidP="00682A8A">
            <w:pPr>
              <w:spacing w:line="276" w:lineRule="auto"/>
              <w:contextualSpacing/>
              <w:rPr>
                <w:rFonts w:cs="Arial"/>
                <w:b/>
                <w:bCs/>
                <w:szCs w:val="20"/>
              </w:rPr>
            </w:pPr>
            <w:r w:rsidRPr="00382A62">
              <w:rPr>
                <w:rFonts w:cs="Arial"/>
                <w:b/>
                <w:bCs/>
                <w:szCs w:val="20"/>
              </w:rPr>
              <w:t> Total</w:t>
            </w:r>
          </w:p>
        </w:tc>
        <w:tc>
          <w:tcPr>
            <w:tcW w:w="2906" w:type="dxa"/>
            <w:shd w:val="clear" w:color="auto" w:fill="auto"/>
            <w:noWrap/>
            <w:vAlign w:val="center"/>
          </w:tcPr>
          <w:p w14:paraId="0C3C2B91" w14:textId="39BD3C49" w:rsidR="00682A8A" w:rsidRPr="00382A62" w:rsidRDefault="00682A8A" w:rsidP="00682A8A">
            <w:pPr>
              <w:spacing w:line="276" w:lineRule="auto"/>
              <w:contextualSpacing/>
              <w:jc w:val="right"/>
              <w:rPr>
                <w:rFonts w:cs="Arial"/>
                <w:b/>
                <w:bCs/>
                <w:szCs w:val="20"/>
              </w:rPr>
            </w:pPr>
            <w:r w:rsidRPr="00382A62">
              <w:rPr>
                <w:rFonts w:cs="Arial"/>
                <w:b/>
                <w:bCs/>
                <w:szCs w:val="20"/>
              </w:rPr>
              <w:t>14.988</w:t>
            </w:r>
          </w:p>
        </w:tc>
        <w:tc>
          <w:tcPr>
            <w:tcW w:w="2906" w:type="dxa"/>
          </w:tcPr>
          <w:p w14:paraId="7B6006EE" w14:textId="462ADA72" w:rsidR="00682A8A" w:rsidRPr="00682A8A" w:rsidRDefault="00682A8A" w:rsidP="00682A8A">
            <w:pPr>
              <w:spacing w:line="276" w:lineRule="auto"/>
              <w:contextualSpacing/>
              <w:jc w:val="right"/>
              <w:rPr>
                <w:rFonts w:cs="Arial"/>
                <w:b/>
                <w:bCs/>
                <w:szCs w:val="20"/>
              </w:rPr>
            </w:pPr>
            <w:r w:rsidRPr="00682A8A">
              <w:rPr>
                <w:rFonts w:cs="Arial"/>
                <w:b/>
                <w:bCs/>
                <w:szCs w:val="20"/>
              </w:rPr>
              <w:t xml:space="preserve">13,525 </w:t>
            </w:r>
          </w:p>
        </w:tc>
      </w:tr>
      <w:tr w:rsidR="007C71B8" w:rsidRPr="00382A62" w14:paraId="62BDD467" w14:textId="77777777" w:rsidTr="007D00B2">
        <w:trPr>
          <w:trHeight w:val="255"/>
          <w:jc w:val="center"/>
        </w:trPr>
        <w:tc>
          <w:tcPr>
            <w:tcW w:w="9918" w:type="dxa"/>
            <w:gridSpan w:val="3"/>
            <w:shd w:val="clear" w:color="auto" w:fill="auto"/>
            <w:noWrap/>
            <w:vAlign w:val="center"/>
            <w:hideMark/>
          </w:tcPr>
          <w:p w14:paraId="703956A4" w14:textId="77777777" w:rsidR="007C71B8" w:rsidRPr="00382A62" w:rsidRDefault="007C71B8" w:rsidP="007C71B8">
            <w:pPr>
              <w:spacing w:line="276" w:lineRule="auto"/>
              <w:contextualSpacing/>
              <w:jc w:val="center"/>
              <w:rPr>
                <w:rFonts w:cs="Arial"/>
                <w:b/>
                <w:bCs/>
                <w:i/>
                <w:iCs/>
                <w:szCs w:val="20"/>
              </w:rPr>
            </w:pPr>
            <w:r w:rsidRPr="00382A62">
              <w:rPr>
                <w:rFonts w:cs="Arial"/>
                <w:b/>
                <w:bCs/>
                <w:i/>
                <w:iCs/>
                <w:szCs w:val="20"/>
              </w:rPr>
              <w:t>Gastos por servicios:</w:t>
            </w:r>
          </w:p>
        </w:tc>
      </w:tr>
      <w:tr w:rsidR="004B5073" w:rsidRPr="00382A62" w14:paraId="684A1D4C" w14:textId="77777777" w:rsidTr="00457C96">
        <w:trPr>
          <w:trHeight w:val="270"/>
          <w:jc w:val="center"/>
        </w:trPr>
        <w:tc>
          <w:tcPr>
            <w:tcW w:w="4106" w:type="dxa"/>
            <w:shd w:val="clear" w:color="auto" w:fill="auto"/>
            <w:noWrap/>
            <w:vAlign w:val="bottom"/>
          </w:tcPr>
          <w:p w14:paraId="278A52F4" w14:textId="35E64077" w:rsidR="004B5073" w:rsidRPr="00382A62" w:rsidRDefault="004B5073" w:rsidP="004B5073">
            <w:pPr>
              <w:spacing w:line="276" w:lineRule="auto"/>
              <w:contextualSpacing/>
              <w:rPr>
                <w:rFonts w:cs="Arial"/>
                <w:szCs w:val="20"/>
              </w:rPr>
            </w:pPr>
            <w:r w:rsidRPr="00382A62">
              <w:rPr>
                <w:rFonts w:cs="Arial"/>
                <w:szCs w:val="20"/>
              </w:rPr>
              <w:t>H.A. Logística de Carga, S.A.</w:t>
            </w:r>
          </w:p>
        </w:tc>
        <w:tc>
          <w:tcPr>
            <w:tcW w:w="2906" w:type="dxa"/>
            <w:shd w:val="clear" w:color="auto" w:fill="auto"/>
            <w:noWrap/>
          </w:tcPr>
          <w:p w14:paraId="009D24D3" w14:textId="40E4C2AB" w:rsidR="004B5073" w:rsidRPr="00382A62" w:rsidRDefault="004B5073" w:rsidP="004B5073">
            <w:pPr>
              <w:spacing w:line="276" w:lineRule="auto"/>
              <w:contextualSpacing/>
              <w:jc w:val="right"/>
              <w:rPr>
                <w:rFonts w:cs="Arial"/>
                <w:szCs w:val="20"/>
              </w:rPr>
            </w:pPr>
            <w:r w:rsidRPr="00382A62">
              <w:rPr>
                <w:rFonts w:cs="Arial"/>
                <w:szCs w:val="20"/>
              </w:rPr>
              <w:t>3.240</w:t>
            </w:r>
          </w:p>
        </w:tc>
        <w:tc>
          <w:tcPr>
            <w:tcW w:w="2906" w:type="dxa"/>
          </w:tcPr>
          <w:p w14:paraId="279A5F63" w14:textId="294DB91E" w:rsidR="004B5073" w:rsidRPr="00382A62" w:rsidRDefault="004C5382" w:rsidP="004B5073">
            <w:pPr>
              <w:spacing w:line="276" w:lineRule="auto"/>
              <w:contextualSpacing/>
              <w:jc w:val="right"/>
              <w:rPr>
                <w:rFonts w:cs="Arial"/>
                <w:szCs w:val="20"/>
              </w:rPr>
            </w:pPr>
            <w:r w:rsidRPr="004C5382">
              <w:rPr>
                <w:rFonts w:cs="Arial"/>
                <w:szCs w:val="20"/>
              </w:rPr>
              <w:t>4,105</w:t>
            </w:r>
          </w:p>
        </w:tc>
      </w:tr>
      <w:tr w:rsidR="004B5073" w:rsidRPr="00382A62" w14:paraId="333243CA" w14:textId="77777777" w:rsidTr="00457C96">
        <w:trPr>
          <w:trHeight w:val="270"/>
          <w:jc w:val="center"/>
        </w:trPr>
        <w:tc>
          <w:tcPr>
            <w:tcW w:w="4106" w:type="dxa"/>
            <w:shd w:val="clear" w:color="auto" w:fill="auto"/>
            <w:noWrap/>
            <w:vAlign w:val="bottom"/>
          </w:tcPr>
          <w:p w14:paraId="7E52EB1F" w14:textId="6534DD86" w:rsidR="004B5073" w:rsidRPr="00382A62" w:rsidRDefault="004B5073" w:rsidP="004B5073">
            <w:pPr>
              <w:spacing w:line="276" w:lineRule="auto"/>
              <w:contextualSpacing/>
              <w:rPr>
                <w:rFonts w:cs="Arial"/>
                <w:szCs w:val="20"/>
              </w:rPr>
            </w:pPr>
            <w:r w:rsidRPr="00382A62">
              <w:rPr>
                <w:rFonts w:cs="Arial"/>
                <w:szCs w:val="20"/>
              </w:rPr>
              <w:t>Jiménez Blanco y Quirós, S.A.</w:t>
            </w:r>
          </w:p>
        </w:tc>
        <w:tc>
          <w:tcPr>
            <w:tcW w:w="2906" w:type="dxa"/>
            <w:shd w:val="clear" w:color="auto" w:fill="auto"/>
            <w:noWrap/>
          </w:tcPr>
          <w:p w14:paraId="4E130C2E" w14:textId="4228FF5A" w:rsidR="004B5073" w:rsidRPr="00382A62" w:rsidRDefault="004B5073" w:rsidP="004B5073">
            <w:pPr>
              <w:spacing w:line="276" w:lineRule="auto"/>
              <w:contextualSpacing/>
              <w:jc w:val="right"/>
              <w:rPr>
                <w:rFonts w:cs="Arial"/>
                <w:szCs w:val="20"/>
              </w:rPr>
            </w:pPr>
            <w:r w:rsidRPr="00382A62">
              <w:rPr>
                <w:rFonts w:cs="Arial"/>
                <w:szCs w:val="20"/>
              </w:rPr>
              <w:t>489</w:t>
            </w:r>
          </w:p>
        </w:tc>
        <w:tc>
          <w:tcPr>
            <w:tcW w:w="2906" w:type="dxa"/>
          </w:tcPr>
          <w:p w14:paraId="4BC72DBB" w14:textId="53E2E57A" w:rsidR="004B5073" w:rsidRPr="00382A62" w:rsidRDefault="00936E64" w:rsidP="004B5073">
            <w:pPr>
              <w:spacing w:line="276" w:lineRule="auto"/>
              <w:contextualSpacing/>
              <w:jc w:val="right"/>
              <w:rPr>
                <w:rFonts w:cs="Arial"/>
                <w:szCs w:val="20"/>
              </w:rPr>
            </w:pPr>
            <w:r w:rsidRPr="00936E64">
              <w:rPr>
                <w:rFonts w:cs="Arial"/>
                <w:szCs w:val="20"/>
              </w:rPr>
              <w:t>427</w:t>
            </w:r>
          </w:p>
        </w:tc>
      </w:tr>
      <w:tr w:rsidR="004B5073" w:rsidRPr="00382A62" w14:paraId="7B47FD96" w14:textId="77777777" w:rsidTr="00457C96">
        <w:trPr>
          <w:trHeight w:val="270"/>
          <w:jc w:val="center"/>
        </w:trPr>
        <w:tc>
          <w:tcPr>
            <w:tcW w:w="4106" w:type="dxa"/>
            <w:shd w:val="clear" w:color="auto" w:fill="auto"/>
            <w:noWrap/>
            <w:vAlign w:val="bottom"/>
          </w:tcPr>
          <w:p w14:paraId="2A5F6298" w14:textId="38234F1F" w:rsidR="004B5073" w:rsidRPr="00382A62" w:rsidRDefault="004B5073" w:rsidP="004B5073">
            <w:pPr>
              <w:spacing w:line="276" w:lineRule="auto"/>
              <w:contextualSpacing/>
              <w:rPr>
                <w:rFonts w:cs="Arial"/>
                <w:szCs w:val="20"/>
              </w:rPr>
            </w:pPr>
            <w:r w:rsidRPr="00382A62">
              <w:rPr>
                <w:rFonts w:cs="Arial"/>
                <w:szCs w:val="20"/>
              </w:rPr>
              <w:t>Compañía Distribuidora de Nicaragua, S.A.</w:t>
            </w:r>
          </w:p>
        </w:tc>
        <w:tc>
          <w:tcPr>
            <w:tcW w:w="2906" w:type="dxa"/>
            <w:shd w:val="clear" w:color="auto" w:fill="auto"/>
            <w:noWrap/>
          </w:tcPr>
          <w:p w14:paraId="28561C44" w14:textId="5251A0CE" w:rsidR="004B5073" w:rsidRPr="00382A62" w:rsidRDefault="004B5073" w:rsidP="004B5073">
            <w:pPr>
              <w:spacing w:line="276" w:lineRule="auto"/>
              <w:contextualSpacing/>
              <w:jc w:val="right"/>
              <w:rPr>
                <w:rFonts w:cs="Arial"/>
                <w:szCs w:val="20"/>
              </w:rPr>
            </w:pPr>
            <w:r w:rsidRPr="00382A62">
              <w:rPr>
                <w:rFonts w:cs="Arial"/>
                <w:szCs w:val="20"/>
              </w:rPr>
              <w:t>500</w:t>
            </w:r>
          </w:p>
        </w:tc>
        <w:tc>
          <w:tcPr>
            <w:tcW w:w="2906" w:type="dxa"/>
          </w:tcPr>
          <w:p w14:paraId="0A871547" w14:textId="787C9E8B" w:rsidR="004B5073" w:rsidRPr="00382A62" w:rsidRDefault="00936E64" w:rsidP="004B5073">
            <w:pPr>
              <w:spacing w:line="276" w:lineRule="auto"/>
              <w:contextualSpacing/>
              <w:jc w:val="right"/>
              <w:rPr>
                <w:rFonts w:cs="Arial"/>
                <w:szCs w:val="20"/>
              </w:rPr>
            </w:pPr>
            <w:r w:rsidRPr="00936E64">
              <w:rPr>
                <w:rFonts w:cs="Arial"/>
                <w:szCs w:val="20"/>
              </w:rPr>
              <w:t>311</w:t>
            </w:r>
          </w:p>
        </w:tc>
      </w:tr>
      <w:tr w:rsidR="004B5073" w:rsidRPr="00382A62" w14:paraId="22FBE71F" w14:textId="77777777" w:rsidTr="00457C96">
        <w:trPr>
          <w:trHeight w:val="270"/>
          <w:jc w:val="center"/>
        </w:trPr>
        <w:tc>
          <w:tcPr>
            <w:tcW w:w="4106" w:type="dxa"/>
            <w:shd w:val="clear" w:color="auto" w:fill="auto"/>
            <w:noWrap/>
            <w:vAlign w:val="bottom"/>
          </w:tcPr>
          <w:p w14:paraId="13D8578F" w14:textId="3D9F3240" w:rsidR="004B5073" w:rsidRPr="00382A62" w:rsidRDefault="004B5073" w:rsidP="004B5073">
            <w:pPr>
              <w:spacing w:line="276" w:lineRule="auto"/>
              <w:contextualSpacing/>
              <w:rPr>
                <w:rFonts w:cs="Arial"/>
                <w:szCs w:val="20"/>
              </w:rPr>
            </w:pPr>
            <w:r w:rsidRPr="00382A62">
              <w:rPr>
                <w:rFonts w:cs="Arial"/>
                <w:szCs w:val="20"/>
              </w:rPr>
              <w:t>Heineken Internacional, B.V.</w:t>
            </w:r>
          </w:p>
        </w:tc>
        <w:tc>
          <w:tcPr>
            <w:tcW w:w="2906" w:type="dxa"/>
            <w:shd w:val="clear" w:color="auto" w:fill="auto"/>
            <w:noWrap/>
          </w:tcPr>
          <w:p w14:paraId="6DA3CA5C" w14:textId="3DF3A67C" w:rsidR="004B5073" w:rsidRPr="00382A62" w:rsidRDefault="004B5073" w:rsidP="004B5073">
            <w:pPr>
              <w:spacing w:line="276" w:lineRule="auto"/>
              <w:contextualSpacing/>
              <w:jc w:val="right"/>
              <w:rPr>
                <w:rFonts w:cs="Arial"/>
                <w:szCs w:val="20"/>
              </w:rPr>
            </w:pPr>
            <w:r w:rsidRPr="00382A62">
              <w:rPr>
                <w:rFonts w:cs="Arial"/>
                <w:szCs w:val="20"/>
              </w:rPr>
              <w:t>181</w:t>
            </w:r>
          </w:p>
        </w:tc>
        <w:tc>
          <w:tcPr>
            <w:tcW w:w="2906" w:type="dxa"/>
          </w:tcPr>
          <w:p w14:paraId="3F971B37" w14:textId="039AEEDA" w:rsidR="004B5073" w:rsidRPr="00382A62" w:rsidRDefault="00936E64" w:rsidP="004B5073">
            <w:pPr>
              <w:spacing w:line="276" w:lineRule="auto"/>
              <w:contextualSpacing/>
              <w:jc w:val="right"/>
              <w:rPr>
                <w:rFonts w:cs="Arial"/>
                <w:szCs w:val="20"/>
              </w:rPr>
            </w:pPr>
            <w:r w:rsidRPr="00936E64">
              <w:rPr>
                <w:rFonts w:cs="Arial"/>
                <w:szCs w:val="20"/>
              </w:rPr>
              <w:t>828</w:t>
            </w:r>
          </w:p>
        </w:tc>
      </w:tr>
      <w:tr w:rsidR="004B5073" w:rsidRPr="00382A62" w14:paraId="179D9B9F" w14:textId="77777777" w:rsidTr="00457C96">
        <w:trPr>
          <w:trHeight w:val="270"/>
          <w:jc w:val="center"/>
        </w:trPr>
        <w:tc>
          <w:tcPr>
            <w:tcW w:w="4106" w:type="dxa"/>
            <w:shd w:val="clear" w:color="auto" w:fill="auto"/>
            <w:noWrap/>
            <w:vAlign w:val="bottom"/>
          </w:tcPr>
          <w:p w14:paraId="34DE5772" w14:textId="1F57A0DC" w:rsidR="004B5073" w:rsidRPr="00382A62" w:rsidRDefault="004B5073" w:rsidP="004B5073">
            <w:pPr>
              <w:spacing w:line="276" w:lineRule="auto"/>
              <w:contextualSpacing/>
              <w:rPr>
                <w:rFonts w:cs="Arial"/>
                <w:szCs w:val="20"/>
              </w:rPr>
            </w:pPr>
            <w:r w:rsidRPr="00382A62">
              <w:rPr>
                <w:rFonts w:cs="Arial"/>
                <w:szCs w:val="20"/>
              </w:rPr>
              <w:t>Compañía Cervecera Nicaragua, S.A.</w:t>
            </w:r>
          </w:p>
        </w:tc>
        <w:tc>
          <w:tcPr>
            <w:tcW w:w="2906" w:type="dxa"/>
            <w:shd w:val="clear" w:color="auto" w:fill="auto"/>
            <w:noWrap/>
          </w:tcPr>
          <w:p w14:paraId="50CD7952" w14:textId="7DE0781E" w:rsidR="004B5073" w:rsidRPr="00382A62" w:rsidRDefault="004B5073" w:rsidP="004B5073">
            <w:pPr>
              <w:spacing w:line="276" w:lineRule="auto"/>
              <w:contextualSpacing/>
              <w:jc w:val="right"/>
              <w:rPr>
                <w:rFonts w:cs="Arial"/>
                <w:szCs w:val="20"/>
              </w:rPr>
            </w:pPr>
            <w:r w:rsidRPr="00382A62">
              <w:rPr>
                <w:rFonts w:cs="Arial"/>
                <w:szCs w:val="20"/>
              </w:rPr>
              <w:t>220</w:t>
            </w:r>
          </w:p>
        </w:tc>
        <w:tc>
          <w:tcPr>
            <w:tcW w:w="2906" w:type="dxa"/>
          </w:tcPr>
          <w:p w14:paraId="75B40E83" w14:textId="4BD7A2F6" w:rsidR="004B5073" w:rsidRPr="00382A62" w:rsidRDefault="008B52BB" w:rsidP="004B5073">
            <w:pPr>
              <w:spacing w:line="276" w:lineRule="auto"/>
              <w:contextualSpacing/>
              <w:jc w:val="right"/>
              <w:rPr>
                <w:rFonts w:cs="Arial"/>
                <w:szCs w:val="20"/>
              </w:rPr>
            </w:pPr>
            <w:r w:rsidRPr="008B52BB">
              <w:rPr>
                <w:rFonts w:cs="Arial"/>
                <w:szCs w:val="20"/>
              </w:rPr>
              <w:t>719</w:t>
            </w:r>
          </w:p>
        </w:tc>
      </w:tr>
      <w:tr w:rsidR="007C71B8" w:rsidRPr="00382A62" w14:paraId="0AFA05F8" w14:textId="77777777" w:rsidTr="007D00B2">
        <w:trPr>
          <w:trHeight w:val="270"/>
          <w:jc w:val="center"/>
        </w:trPr>
        <w:tc>
          <w:tcPr>
            <w:tcW w:w="4106" w:type="dxa"/>
            <w:shd w:val="clear" w:color="auto" w:fill="auto"/>
            <w:noWrap/>
            <w:vAlign w:val="bottom"/>
          </w:tcPr>
          <w:p w14:paraId="1467E91F" w14:textId="77777777" w:rsidR="007C71B8" w:rsidRPr="00382A62" w:rsidRDefault="007C71B8" w:rsidP="007C71B8">
            <w:pPr>
              <w:spacing w:line="276" w:lineRule="auto"/>
              <w:contextualSpacing/>
              <w:rPr>
                <w:rFonts w:cs="Arial"/>
                <w:b/>
                <w:bCs/>
                <w:szCs w:val="20"/>
              </w:rPr>
            </w:pPr>
            <w:r w:rsidRPr="00382A62">
              <w:rPr>
                <w:rFonts w:cs="Arial"/>
                <w:szCs w:val="20"/>
              </w:rPr>
              <w:t xml:space="preserve"> </w:t>
            </w:r>
            <w:r w:rsidRPr="00382A62">
              <w:rPr>
                <w:rFonts w:cs="Arial"/>
                <w:b/>
                <w:bCs/>
                <w:szCs w:val="20"/>
              </w:rPr>
              <w:t>Total</w:t>
            </w:r>
          </w:p>
        </w:tc>
        <w:tc>
          <w:tcPr>
            <w:tcW w:w="2906" w:type="dxa"/>
            <w:shd w:val="clear" w:color="auto" w:fill="auto"/>
            <w:noWrap/>
            <w:vAlign w:val="center"/>
          </w:tcPr>
          <w:p w14:paraId="7167133D" w14:textId="77197AF2" w:rsidR="007C71B8" w:rsidRPr="00382A62" w:rsidRDefault="004B5073" w:rsidP="007C71B8">
            <w:pPr>
              <w:spacing w:line="276" w:lineRule="auto"/>
              <w:contextualSpacing/>
              <w:jc w:val="right"/>
              <w:rPr>
                <w:rFonts w:cs="Arial"/>
                <w:b/>
                <w:bCs/>
                <w:szCs w:val="20"/>
              </w:rPr>
            </w:pPr>
            <w:r w:rsidRPr="00382A62">
              <w:rPr>
                <w:rFonts w:cs="Arial"/>
                <w:b/>
                <w:bCs/>
                <w:szCs w:val="20"/>
              </w:rPr>
              <w:t>4.630</w:t>
            </w:r>
          </w:p>
        </w:tc>
        <w:tc>
          <w:tcPr>
            <w:tcW w:w="2906" w:type="dxa"/>
          </w:tcPr>
          <w:p w14:paraId="1A5A0838" w14:textId="04ED7B77" w:rsidR="007C71B8" w:rsidRPr="00382A62" w:rsidRDefault="008B52BB" w:rsidP="007C71B8">
            <w:pPr>
              <w:spacing w:line="276" w:lineRule="auto"/>
              <w:contextualSpacing/>
              <w:jc w:val="right"/>
              <w:rPr>
                <w:rFonts w:cs="Arial"/>
                <w:b/>
                <w:bCs/>
                <w:szCs w:val="20"/>
              </w:rPr>
            </w:pPr>
            <w:r w:rsidRPr="008B52BB">
              <w:rPr>
                <w:rFonts w:cs="Arial"/>
                <w:b/>
                <w:bCs/>
                <w:szCs w:val="20"/>
              </w:rPr>
              <w:t>6,390</w:t>
            </w:r>
          </w:p>
        </w:tc>
      </w:tr>
    </w:tbl>
    <w:p w14:paraId="7E211819" w14:textId="77777777" w:rsidR="002D739C" w:rsidRDefault="002D739C" w:rsidP="00BF7F83">
      <w:pPr>
        <w:spacing w:line="240" w:lineRule="auto"/>
        <w:rPr>
          <w:rFonts w:cs="Arial"/>
          <w:color w:val="7F7F7F" w:themeColor="text1" w:themeTint="80"/>
          <w:szCs w:val="20"/>
        </w:rPr>
      </w:pPr>
    </w:p>
    <w:p w14:paraId="5C75DCF4" w14:textId="27C59F5E" w:rsidR="004578A3" w:rsidRPr="00382A62" w:rsidRDefault="007605E6" w:rsidP="00BF7F83">
      <w:pPr>
        <w:spacing w:line="240" w:lineRule="auto"/>
        <w:rPr>
          <w:rFonts w:cs="Arial"/>
          <w:color w:val="7F7F7F" w:themeColor="text1" w:themeTint="80"/>
          <w:szCs w:val="20"/>
        </w:rPr>
      </w:pPr>
      <w:r w:rsidRPr="00382A62">
        <w:rPr>
          <w:rFonts w:cs="Arial"/>
          <w:color w:val="7F7F7F" w:themeColor="text1" w:themeTint="80"/>
          <w:szCs w:val="20"/>
        </w:rPr>
        <w:t xml:space="preserve">Fuente: Estados Financieros Auditados al 31 de diciembre </w:t>
      </w:r>
      <w:r w:rsidR="001D1BD2" w:rsidRPr="00382A62">
        <w:rPr>
          <w:rFonts w:cs="Arial"/>
          <w:color w:val="7F7F7F" w:themeColor="text1" w:themeTint="80"/>
          <w:szCs w:val="20"/>
        </w:rPr>
        <w:t>202</w:t>
      </w:r>
      <w:r w:rsidR="001D1BD2">
        <w:rPr>
          <w:rFonts w:cs="Arial"/>
          <w:color w:val="7F7F7F" w:themeColor="text1" w:themeTint="80"/>
          <w:szCs w:val="20"/>
        </w:rPr>
        <w:t>3.</w:t>
      </w:r>
      <w:r w:rsidR="004578A3" w:rsidRPr="00382A62">
        <w:rPr>
          <w:rFonts w:cs="Arial"/>
          <w:szCs w:val="20"/>
        </w:rPr>
        <w:br w:type="page"/>
      </w:r>
    </w:p>
    <w:p w14:paraId="30AA5E46" w14:textId="4AB591A6" w:rsidR="00C24BEA" w:rsidRPr="00382A62" w:rsidRDefault="00F71F5B" w:rsidP="00D90583">
      <w:pPr>
        <w:rPr>
          <w:rFonts w:cs="Arial"/>
          <w:szCs w:val="20"/>
        </w:rPr>
      </w:pPr>
      <w:r w:rsidRPr="00382A62">
        <w:rPr>
          <w:rFonts w:cs="Arial"/>
          <w:noProof/>
          <w:szCs w:val="20"/>
        </w:rPr>
        <w:lastRenderedPageBreak/>
        <w:drawing>
          <wp:anchor distT="0" distB="0" distL="114300" distR="114300" simplePos="0" relativeHeight="251703296" behindDoc="1" locked="0" layoutInCell="1" allowOverlap="1" wp14:anchorId="0C878DC5" wp14:editId="3792C055">
            <wp:simplePos x="0" y="0"/>
            <wp:positionH relativeFrom="page">
              <wp:posOffset>-95535</wp:posOffset>
            </wp:positionH>
            <wp:positionV relativeFrom="paragraph">
              <wp:posOffset>-914400</wp:posOffset>
            </wp:positionV>
            <wp:extent cx="8024883" cy="1017962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36529" cy="101944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F70E9" w14:textId="7C725F0E" w:rsidR="00C24BEA" w:rsidRPr="00382A62" w:rsidRDefault="00C24BEA" w:rsidP="00D90583">
      <w:pPr>
        <w:rPr>
          <w:rFonts w:cs="Arial"/>
          <w:szCs w:val="20"/>
        </w:rPr>
      </w:pPr>
    </w:p>
    <w:p w14:paraId="06CB4715" w14:textId="77777777" w:rsidR="00C24BEA" w:rsidRPr="00382A62" w:rsidRDefault="00C24BEA" w:rsidP="00D90583">
      <w:pPr>
        <w:rPr>
          <w:rFonts w:cs="Arial"/>
          <w:szCs w:val="20"/>
        </w:rPr>
      </w:pPr>
    </w:p>
    <w:p w14:paraId="3F729917" w14:textId="77777777" w:rsidR="00C24BEA" w:rsidRPr="00382A62" w:rsidRDefault="00C24BEA" w:rsidP="00D90583">
      <w:pPr>
        <w:rPr>
          <w:rFonts w:cs="Arial"/>
          <w:szCs w:val="20"/>
        </w:rPr>
      </w:pPr>
    </w:p>
    <w:p w14:paraId="2A67E47E" w14:textId="77777777" w:rsidR="00C24BEA" w:rsidRPr="00382A62" w:rsidRDefault="00C24BEA" w:rsidP="00D90583">
      <w:pPr>
        <w:rPr>
          <w:rFonts w:cs="Arial"/>
          <w:szCs w:val="20"/>
        </w:rPr>
      </w:pPr>
    </w:p>
    <w:p w14:paraId="6EB58725" w14:textId="77777777" w:rsidR="00C24BEA" w:rsidRPr="00382A62" w:rsidRDefault="00C24BEA" w:rsidP="00D90583">
      <w:pPr>
        <w:rPr>
          <w:rFonts w:cs="Arial"/>
          <w:szCs w:val="20"/>
        </w:rPr>
      </w:pPr>
    </w:p>
    <w:p w14:paraId="450E7A52" w14:textId="77777777" w:rsidR="00C24BEA" w:rsidRPr="00382A62" w:rsidRDefault="00C24BEA" w:rsidP="00D90583">
      <w:pPr>
        <w:rPr>
          <w:rFonts w:cs="Arial"/>
          <w:szCs w:val="20"/>
        </w:rPr>
      </w:pPr>
    </w:p>
    <w:p w14:paraId="57777A92" w14:textId="286C050D" w:rsidR="00C24BEA" w:rsidRPr="00382A62" w:rsidRDefault="00C24BEA" w:rsidP="00D90583">
      <w:pPr>
        <w:rPr>
          <w:rFonts w:cs="Arial"/>
          <w:szCs w:val="20"/>
        </w:rPr>
      </w:pPr>
    </w:p>
    <w:p w14:paraId="1DA62AA1" w14:textId="77777777" w:rsidR="00C24BEA" w:rsidRPr="00382A62" w:rsidRDefault="00C24BEA" w:rsidP="00D90583">
      <w:pPr>
        <w:rPr>
          <w:rFonts w:cs="Arial"/>
          <w:szCs w:val="20"/>
        </w:rPr>
      </w:pPr>
    </w:p>
    <w:p w14:paraId="0ABE1212" w14:textId="3832B10D" w:rsidR="00C24BEA" w:rsidRPr="00382A62" w:rsidRDefault="00C24BEA" w:rsidP="00D90583">
      <w:pPr>
        <w:rPr>
          <w:rFonts w:cs="Arial"/>
          <w:szCs w:val="20"/>
        </w:rPr>
      </w:pPr>
    </w:p>
    <w:p w14:paraId="38C7FD21" w14:textId="77777777" w:rsidR="00C24BEA" w:rsidRPr="00382A62" w:rsidRDefault="00C24BEA" w:rsidP="00D90583">
      <w:pPr>
        <w:rPr>
          <w:rFonts w:cs="Arial"/>
          <w:szCs w:val="20"/>
        </w:rPr>
      </w:pPr>
    </w:p>
    <w:p w14:paraId="6B46A47E" w14:textId="77777777" w:rsidR="00C24BEA" w:rsidRPr="00382A62" w:rsidRDefault="00C24BEA" w:rsidP="00D90583">
      <w:pPr>
        <w:rPr>
          <w:rFonts w:cs="Arial"/>
          <w:szCs w:val="20"/>
        </w:rPr>
      </w:pPr>
    </w:p>
    <w:p w14:paraId="102156E2" w14:textId="77777777" w:rsidR="00C24BEA" w:rsidRPr="00382A62" w:rsidRDefault="00C24BEA" w:rsidP="00D90583">
      <w:pPr>
        <w:rPr>
          <w:rFonts w:cs="Arial"/>
          <w:szCs w:val="20"/>
        </w:rPr>
      </w:pPr>
    </w:p>
    <w:p w14:paraId="6A0EDF29" w14:textId="77777777" w:rsidR="00716697" w:rsidRPr="00382A62" w:rsidRDefault="00716697" w:rsidP="00D90583">
      <w:pPr>
        <w:rPr>
          <w:rFonts w:cs="Arial"/>
          <w:szCs w:val="20"/>
        </w:rPr>
      </w:pPr>
    </w:p>
    <w:p w14:paraId="57941789" w14:textId="77777777" w:rsidR="00716697" w:rsidRPr="00382A62" w:rsidRDefault="00716697" w:rsidP="00D90583">
      <w:pPr>
        <w:rPr>
          <w:rFonts w:cs="Arial"/>
          <w:szCs w:val="20"/>
        </w:rPr>
      </w:pPr>
    </w:p>
    <w:p w14:paraId="6757D555" w14:textId="77777777" w:rsidR="00716697" w:rsidRPr="00382A62" w:rsidRDefault="00716697" w:rsidP="00D90583">
      <w:pPr>
        <w:rPr>
          <w:rFonts w:cs="Arial"/>
          <w:szCs w:val="20"/>
        </w:rPr>
      </w:pPr>
    </w:p>
    <w:p w14:paraId="2FA013AB" w14:textId="77777777" w:rsidR="00716697" w:rsidRPr="00382A62" w:rsidRDefault="00716697" w:rsidP="00D90583">
      <w:pPr>
        <w:rPr>
          <w:rFonts w:cs="Arial"/>
          <w:szCs w:val="20"/>
        </w:rPr>
      </w:pPr>
    </w:p>
    <w:p w14:paraId="2B1F4F47" w14:textId="77777777" w:rsidR="00D90583" w:rsidRPr="00382A62" w:rsidRDefault="00D90583" w:rsidP="00D90583">
      <w:pPr>
        <w:rPr>
          <w:rFonts w:cs="Arial"/>
          <w:szCs w:val="20"/>
        </w:rPr>
      </w:pPr>
    </w:p>
    <w:p w14:paraId="6B312D8F" w14:textId="77777777" w:rsidR="00D90583" w:rsidRPr="00382A62" w:rsidRDefault="00D90583" w:rsidP="00D90583">
      <w:pPr>
        <w:rPr>
          <w:rFonts w:cs="Arial"/>
          <w:szCs w:val="20"/>
        </w:rPr>
      </w:pPr>
    </w:p>
    <w:p w14:paraId="58ADADD3" w14:textId="77777777" w:rsidR="00C24BEA" w:rsidRPr="00C55BEC" w:rsidRDefault="00C24BEA" w:rsidP="00E94F71">
      <w:pPr>
        <w:pStyle w:val="Ttulo1"/>
        <w:rPr>
          <w:rFonts w:cs="Arial"/>
          <w:sz w:val="44"/>
          <w:szCs w:val="44"/>
        </w:rPr>
      </w:pPr>
      <w:bookmarkStart w:id="290" w:name="_Toc131501134"/>
      <w:bookmarkStart w:id="291" w:name="_Toc169624693"/>
      <w:r w:rsidRPr="00C55BEC">
        <w:rPr>
          <w:rFonts w:cs="Arial"/>
          <w:sz w:val="44"/>
          <w:szCs w:val="44"/>
        </w:rPr>
        <w:t>Capítulo 7.</w:t>
      </w:r>
      <w:bookmarkEnd w:id="290"/>
      <w:bookmarkEnd w:id="291"/>
      <w:r w:rsidRPr="00C55BEC">
        <w:rPr>
          <w:rFonts w:cs="Arial"/>
          <w:sz w:val="44"/>
          <w:szCs w:val="44"/>
        </w:rPr>
        <w:t xml:space="preserve"> </w:t>
      </w:r>
    </w:p>
    <w:p w14:paraId="19F260A1" w14:textId="77777777" w:rsidR="00DC07DD" w:rsidRPr="00C55BEC" w:rsidRDefault="00CC5538" w:rsidP="00E94F71">
      <w:pPr>
        <w:pStyle w:val="Ttulo1"/>
        <w:rPr>
          <w:rFonts w:cs="Arial"/>
          <w:sz w:val="44"/>
          <w:szCs w:val="44"/>
        </w:rPr>
      </w:pPr>
      <w:bookmarkStart w:id="292" w:name="_Toc131501135"/>
      <w:bookmarkStart w:id="293" w:name="_Toc169624694"/>
      <w:r w:rsidRPr="00C55BEC">
        <w:rPr>
          <w:rFonts w:cs="Arial"/>
          <w:sz w:val="44"/>
          <w:szCs w:val="44"/>
        </w:rPr>
        <w:t>Información financiera</w:t>
      </w:r>
      <w:bookmarkEnd w:id="292"/>
      <w:bookmarkEnd w:id="293"/>
    </w:p>
    <w:p w14:paraId="0271C653" w14:textId="77777777" w:rsidR="00E94F71" w:rsidRPr="00382A62" w:rsidRDefault="00E94F71">
      <w:pPr>
        <w:spacing w:line="259" w:lineRule="auto"/>
        <w:jc w:val="left"/>
        <w:rPr>
          <w:rFonts w:cs="Arial"/>
          <w:szCs w:val="20"/>
        </w:rPr>
      </w:pPr>
      <w:r w:rsidRPr="00382A62">
        <w:rPr>
          <w:rFonts w:cs="Arial"/>
          <w:szCs w:val="20"/>
        </w:rPr>
        <w:br w:type="page"/>
      </w:r>
    </w:p>
    <w:p w14:paraId="06C78D33" w14:textId="77777777" w:rsidR="007605E6" w:rsidRPr="00382A62" w:rsidRDefault="007605E6" w:rsidP="007605E6">
      <w:pPr>
        <w:pStyle w:val="Ttulo2"/>
        <w:numPr>
          <w:ilvl w:val="0"/>
          <w:numId w:val="14"/>
        </w:numPr>
        <w:ind w:left="1068"/>
        <w:rPr>
          <w:rFonts w:cs="Arial"/>
          <w:sz w:val="20"/>
          <w:szCs w:val="20"/>
        </w:rPr>
      </w:pPr>
      <w:bookmarkStart w:id="294" w:name="_Toc131092935"/>
      <w:bookmarkStart w:id="295" w:name="_Toc131501136"/>
      <w:bookmarkStart w:id="296" w:name="_Toc169624695"/>
      <w:r w:rsidRPr="00382A62">
        <w:rPr>
          <w:rFonts w:cs="Arial"/>
          <w:sz w:val="20"/>
          <w:szCs w:val="20"/>
        </w:rPr>
        <w:lastRenderedPageBreak/>
        <w:t>Anexos al prospecto</w:t>
      </w:r>
      <w:bookmarkEnd w:id="294"/>
      <w:bookmarkEnd w:id="295"/>
      <w:bookmarkEnd w:id="296"/>
    </w:p>
    <w:p w14:paraId="3080A10A" w14:textId="2D4DA04F" w:rsidR="007605E6" w:rsidRPr="00382A62" w:rsidRDefault="007605E6" w:rsidP="007605E6">
      <w:pPr>
        <w:pStyle w:val="Prrafodelista"/>
        <w:numPr>
          <w:ilvl w:val="0"/>
          <w:numId w:val="18"/>
        </w:numPr>
        <w:rPr>
          <w:rFonts w:cs="Arial"/>
          <w:szCs w:val="20"/>
        </w:rPr>
      </w:pPr>
      <w:r w:rsidRPr="00382A62">
        <w:rPr>
          <w:rFonts w:cs="Arial"/>
          <w:szCs w:val="20"/>
        </w:rPr>
        <w:t>Estados Financieros Consolidados Auditados 202</w:t>
      </w:r>
      <w:r w:rsidR="00A13733">
        <w:rPr>
          <w:rFonts w:cs="Arial"/>
          <w:szCs w:val="20"/>
        </w:rPr>
        <w:t>1</w:t>
      </w:r>
    </w:p>
    <w:p w14:paraId="51AEC95C" w14:textId="240CA873" w:rsidR="007605E6" w:rsidRPr="00382A62" w:rsidRDefault="007605E6" w:rsidP="007605E6">
      <w:pPr>
        <w:pStyle w:val="Prrafodelista"/>
        <w:numPr>
          <w:ilvl w:val="0"/>
          <w:numId w:val="18"/>
        </w:numPr>
        <w:rPr>
          <w:rFonts w:cs="Arial"/>
          <w:szCs w:val="20"/>
        </w:rPr>
      </w:pPr>
      <w:r w:rsidRPr="00382A62">
        <w:rPr>
          <w:rFonts w:cs="Arial"/>
          <w:szCs w:val="20"/>
        </w:rPr>
        <w:t>Estados Financieros Consolidados Auditados 202</w:t>
      </w:r>
      <w:r w:rsidR="00A13733">
        <w:rPr>
          <w:rFonts w:cs="Arial"/>
          <w:szCs w:val="20"/>
        </w:rPr>
        <w:t>2</w:t>
      </w:r>
    </w:p>
    <w:p w14:paraId="396FA843" w14:textId="1DB47AA6" w:rsidR="007605E6" w:rsidRDefault="007605E6" w:rsidP="007605E6">
      <w:pPr>
        <w:pStyle w:val="Prrafodelista"/>
        <w:numPr>
          <w:ilvl w:val="0"/>
          <w:numId w:val="18"/>
        </w:numPr>
        <w:rPr>
          <w:rFonts w:cs="Arial"/>
          <w:szCs w:val="20"/>
        </w:rPr>
      </w:pPr>
      <w:r w:rsidRPr="00382A62">
        <w:rPr>
          <w:rFonts w:cs="Arial"/>
          <w:szCs w:val="20"/>
        </w:rPr>
        <w:t>Estados Financieros Consolidados Auditados 202</w:t>
      </w:r>
      <w:r w:rsidR="00A13733">
        <w:rPr>
          <w:rFonts w:cs="Arial"/>
          <w:szCs w:val="20"/>
        </w:rPr>
        <w:t>3</w:t>
      </w:r>
    </w:p>
    <w:p w14:paraId="63DCFCE7" w14:textId="2EB3A39E" w:rsidR="003007CD" w:rsidRPr="00382A62" w:rsidRDefault="004A5BBB" w:rsidP="007605E6">
      <w:pPr>
        <w:pStyle w:val="Prrafodelista"/>
        <w:numPr>
          <w:ilvl w:val="0"/>
          <w:numId w:val="18"/>
        </w:numPr>
        <w:rPr>
          <w:rFonts w:cs="Arial"/>
          <w:szCs w:val="20"/>
        </w:rPr>
      </w:pPr>
      <w:r>
        <w:rPr>
          <w:rFonts w:cs="Arial"/>
          <w:szCs w:val="20"/>
        </w:rPr>
        <w:t xml:space="preserve">Calificación de Riesgos </w:t>
      </w:r>
    </w:p>
    <w:p w14:paraId="0B96E404" w14:textId="77777777" w:rsidR="007605E6" w:rsidRPr="00382A62" w:rsidRDefault="007605E6" w:rsidP="007605E6">
      <w:pPr>
        <w:rPr>
          <w:rFonts w:cs="Arial"/>
          <w:szCs w:val="20"/>
        </w:rPr>
      </w:pPr>
    </w:p>
    <w:p w14:paraId="36B6207B" w14:textId="77777777" w:rsidR="007605E6" w:rsidRPr="00382A62" w:rsidRDefault="007605E6" w:rsidP="007605E6">
      <w:pPr>
        <w:pStyle w:val="Ttulo2"/>
        <w:numPr>
          <w:ilvl w:val="0"/>
          <w:numId w:val="14"/>
        </w:numPr>
        <w:ind w:left="1068"/>
        <w:rPr>
          <w:rFonts w:cs="Arial"/>
          <w:sz w:val="20"/>
          <w:szCs w:val="20"/>
        </w:rPr>
      </w:pPr>
      <w:bookmarkStart w:id="297" w:name="_Toc131092936"/>
      <w:bookmarkStart w:id="298" w:name="_Toc131501137"/>
      <w:bookmarkStart w:id="299" w:name="_Toc169624696"/>
      <w:r w:rsidRPr="00382A62">
        <w:rPr>
          <w:rFonts w:cs="Arial"/>
          <w:sz w:val="20"/>
          <w:szCs w:val="20"/>
        </w:rPr>
        <w:t>Periodicidad de la información a los inversionistas</w:t>
      </w:r>
      <w:bookmarkEnd w:id="297"/>
      <w:bookmarkEnd w:id="298"/>
      <w:bookmarkEnd w:id="299"/>
    </w:p>
    <w:p w14:paraId="0408DCEA" w14:textId="7FC2E911" w:rsidR="007605E6" w:rsidRPr="00382A62" w:rsidRDefault="007605E6" w:rsidP="007605E6">
      <w:pPr>
        <w:rPr>
          <w:rFonts w:cs="Arial"/>
          <w:szCs w:val="20"/>
        </w:rPr>
      </w:pPr>
      <w:r w:rsidRPr="00382A62">
        <w:rPr>
          <w:rFonts w:cs="Arial"/>
          <w:szCs w:val="20"/>
        </w:rPr>
        <w:t>Señor inversionista</w:t>
      </w:r>
      <w:r w:rsidR="00BA4F94" w:rsidRPr="00382A62">
        <w:rPr>
          <w:rFonts w:cs="Arial"/>
          <w:szCs w:val="20"/>
        </w:rPr>
        <w:t>,</w:t>
      </w:r>
      <w:r w:rsidRPr="00382A62">
        <w:rPr>
          <w:rFonts w:cs="Arial"/>
          <w:szCs w:val="20"/>
        </w:rPr>
        <w:t xml:space="preserve"> la siguiente información sobre la empresa y su situación financiera estará a disposición en la empresa emisora y en la Superintendencia General de Valores para su consulta: </w:t>
      </w:r>
    </w:p>
    <w:p w14:paraId="630FA265" w14:textId="77777777" w:rsidR="007605E6" w:rsidRPr="00382A62" w:rsidRDefault="007605E6" w:rsidP="007605E6">
      <w:pPr>
        <w:pStyle w:val="Prrafodelista"/>
        <w:numPr>
          <w:ilvl w:val="0"/>
          <w:numId w:val="1"/>
        </w:numPr>
        <w:rPr>
          <w:rFonts w:cs="Arial"/>
          <w:szCs w:val="20"/>
        </w:rPr>
      </w:pPr>
      <w:r w:rsidRPr="00382A62">
        <w:rPr>
          <w:rFonts w:cs="Arial"/>
          <w:szCs w:val="20"/>
        </w:rPr>
        <w:t xml:space="preserve">Hechos relevantes en el momento en que la empresa tenga conocimiento del evento. </w:t>
      </w:r>
    </w:p>
    <w:p w14:paraId="69D5EF08" w14:textId="77777777" w:rsidR="007605E6" w:rsidRPr="00382A62" w:rsidRDefault="007605E6" w:rsidP="007605E6">
      <w:pPr>
        <w:pStyle w:val="Prrafodelista"/>
        <w:numPr>
          <w:ilvl w:val="0"/>
          <w:numId w:val="1"/>
        </w:numPr>
        <w:rPr>
          <w:rFonts w:cs="Arial"/>
          <w:szCs w:val="20"/>
        </w:rPr>
      </w:pPr>
      <w:r w:rsidRPr="00382A62">
        <w:rPr>
          <w:rFonts w:cs="Arial"/>
          <w:szCs w:val="20"/>
        </w:rPr>
        <w:t xml:space="preserve">Prospecto actualizado con la última información a disposición de la empresa. </w:t>
      </w:r>
    </w:p>
    <w:p w14:paraId="4F3FE6CA" w14:textId="77777777" w:rsidR="007605E6" w:rsidRPr="00382A62" w:rsidRDefault="007605E6" w:rsidP="007605E6">
      <w:pPr>
        <w:pStyle w:val="Prrafodelista"/>
        <w:numPr>
          <w:ilvl w:val="0"/>
          <w:numId w:val="1"/>
        </w:numPr>
        <w:rPr>
          <w:rFonts w:cs="Arial"/>
          <w:szCs w:val="20"/>
        </w:rPr>
      </w:pPr>
      <w:r w:rsidRPr="00382A62">
        <w:rPr>
          <w:rFonts w:cs="Arial"/>
          <w:szCs w:val="20"/>
        </w:rPr>
        <w:t>Estados financieros trimestrales.</w:t>
      </w:r>
    </w:p>
    <w:p w14:paraId="6185A7E6" w14:textId="77777777" w:rsidR="007605E6" w:rsidRPr="00382A62" w:rsidRDefault="007605E6" w:rsidP="007605E6">
      <w:pPr>
        <w:pStyle w:val="Prrafodelista"/>
        <w:numPr>
          <w:ilvl w:val="0"/>
          <w:numId w:val="1"/>
        </w:numPr>
        <w:rPr>
          <w:rFonts w:cs="Arial"/>
          <w:szCs w:val="20"/>
        </w:rPr>
      </w:pPr>
      <w:r w:rsidRPr="00382A62">
        <w:rPr>
          <w:rFonts w:cs="Arial"/>
          <w:szCs w:val="20"/>
        </w:rPr>
        <w:t xml:space="preserve">Estados financieros auditados anuales. </w:t>
      </w:r>
    </w:p>
    <w:p w14:paraId="5F871E8F" w14:textId="77777777" w:rsidR="007605E6" w:rsidRPr="00382A62" w:rsidRDefault="007605E6" w:rsidP="007605E6">
      <w:pPr>
        <w:pStyle w:val="Prrafodelista"/>
        <w:numPr>
          <w:ilvl w:val="0"/>
          <w:numId w:val="1"/>
        </w:numPr>
        <w:rPr>
          <w:rFonts w:cs="Arial"/>
          <w:szCs w:val="20"/>
        </w:rPr>
      </w:pPr>
      <w:r w:rsidRPr="00382A62">
        <w:rPr>
          <w:rFonts w:cs="Arial"/>
          <w:szCs w:val="20"/>
        </w:rPr>
        <w:t>Flujo de caja anual proyectado y flujos de caja reales trimestrales.</w:t>
      </w:r>
    </w:p>
    <w:p w14:paraId="4964637E" w14:textId="5DAC4564" w:rsidR="00E52D8A" w:rsidRPr="00382A62" w:rsidRDefault="007605E6" w:rsidP="007605E6">
      <w:pPr>
        <w:pStyle w:val="Prrafodelista"/>
        <w:numPr>
          <w:ilvl w:val="0"/>
          <w:numId w:val="1"/>
        </w:numPr>
        <w:rPr>
          <w:rFonts w:cs="Arial"/>
          <w:szCs w:val="20"/>
        </w:rPr>
      </w:pPr>
      <w:r w:rsidRPr="00382A62">
        <w:rPr>
          <w:rFonts w:cs="Arial"/>
          <w:szCs w:val="20"/>
        </w:rPr>
        <w:t xml:space="preserve">Estados de captación con información sobre las captaciones mediante emisiones. </w:t>
      </w:r>
      <w:r w:rsidR="00E52D8A" w:rsidRPr="00382A62">
        <w:rPr>
          <w:rFonts w:cs="Arial"/>
          <w:szCs w:val="20"/>
        </w:rPr>
        <w:br w:type="page"/>
      </w:r>
    </w:p>
    <w:p w14:paraId="2B49B9CF" w14:textId="77777777" w:rsidR="00381EBA" w:rsidRPr="00382A62" w:rsidRDefault="00921CCA" w:rsidP="001C4F79">
      <w:pPr>
        <w:rPr>
          <w:rFonts w:cs="Arial"/>
          <w:szCs w:val="20"/>
        </w:rPr>
      </w:pPr>
      <w:r w:rsidRPr="00382A62">
        <w:rPr>
          <w:rFonts w:cs="Arial"/>
          <w:noProof/>
          <w:szCs w:val="20"/>
        </w:rPr>
        <w:lastRenderedPageBreak/>
        <w:drawing>
          <wp:anchor distT="0" distB="0" distL="114300" distR="114300" simplePos="0" relativeHeight="251679770" behindDoc="0" locked="0" layoutInCell="1" allowOverlap="1" wp14:anchorId="12F5EEBA" wp14:editId="7FD4012D">
            <wp:simplePos x="0" y="0"/>
            <wp:positionH relativeFrom="page">
              <wp:posOffset>-77278</wp:posOffset>
            </wp:positionH>
            <wp:positionV relativeFrom="paragraph">
              <wp:posOffset>-914400</wp:posOffset>
            </wp:positionV>
            <wp:extent cx="7677150" cy="10236200"/>
            <wp:effectExtent l="0" t="0" r="0" b="0"/>
            <wp:wrapNone/>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nombre de la empresa&#10;&#10;Descripción generada automáticamente"/>
                    <pic:cNvPicPr/>
                  </pic:nvPicPr>
                  <pic:blipFill>
                    <a:blip r:embed="rId40">
                      <a:extLst>
                        <a:ext uri="{28A0092B-C50C-407E-A947-70E740481C1C}">
                          <a14:useLocalDpi xmlns:a14="http://schemas.microsoft.com/office/drawing/2010/main" val="0"/>
                        </a:ext>
                      </a:extLst>
                    </a:blip>
                    <a:stretch>
                      <a:fillRect/>
                    </a:stretch>
                  </pic:blipFill>
                  <pic:spPr>
                    <a:xfrm>
                      <a:off x="0" y="0"/>
                      <a:ext cx="7677150" cy="10236200"/>
                    </a:xfrm>
                    <a:prstGeom prst="rect">
                      <a:avLst/>
                    </a:prstGeom>
                  </pic:spPr>
                </pic:pic>
              </a:graphicData>
            </a:graphic>
            <wp14:sizeRelH relativeFrom="margin">
              <wp14:pctWidth>0</wp14:pctWidth>
            </wp14:sizeRelH>
            <wp14:sizeRelV relativeFrom="margin">
              <wp14:pctHeight>0</wp14:pctHeight>
            </wp14:sizeRelV>
          </wp:anchor>
        </w:drawing>
      </w:r>
    </w:p>
    <w:sectPr w:rsidR="00381EBA" w:rsidRPr="00382A62" w:rsidSect="00183C80">
      <w:headerReference w:type="default" r:id="rId41"/>
      <w:footerReference w:type="default" r:id="rId42"/>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82A373" w14:textId="77777777" w:rsidR="00BA30D6" w:rsidRDefault="00BA30D6" w:rsidP="00F67E77">
      <w:pPr>
        <w:spacing w:after="0" w:line="240" w:lineRule="auto"/>
      </w:pPr>
      <w:r>
        <w:separator/>
      </w:r>
    </w:p>
  </w:endnote>
  <w:endnote w:type="continuationSeparator" w:id="0">
    <w:p w14:paraId="7D36DED5" w14:textId="77777777" w:rsidR="00BA30D6" w:rsidRDefault="00BA30D6" w:rsidP="00F67E77">
      <w:pPr>
        <w:spacing w:after="0" w:line="240" w:lineRule="auto"/>
      </w:pPr>
      <w:r>
        <w:continuationSeparator/>
      </w:r>
    </w:p>
  </w:endnote>
  <w:endnote w:type="continuationNotice" w:id="1">
    <w:p w14:paraId="1AE90084" w14:textId="77777777" w:rsidR="00BA30D6" w:rsidRDefault="00BA30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DF1F2" w14:textId="77777777" w:rsidR="00A427D0" w:rsidRDefault="00A427D0" w:rsidP="00653250">
    <w:pPr>
      <w:pStyle w:val="Piedepgina"/>
      <w:jc w:val="left"/>
    </w:pPr>
    <w:r>
      <w:rPr>
        <w:rFonts w:hint="eastAsia"/>
        <w:noProof/>
      </w:rPr>
      <w:drawing>
        <wp:anchor distT="0" distB="0" distL="114300" distR="114300" simplePos="0" relativeHeight="251658240" behindDoc="0" locked="0" layoutInCell="1" allowOverlap="1" wp14:anchorId="16F5B4C8" wp14:editId="6B250FD4">
          <wp:simplePos x="0" y="0"/>
          <wp:positionH relativeFrom="page">
            <wp:align>left</wp:align>
          </wp:positionH>
          <wp:positionV relativeFrom="paragraph">
            <wp:posOffset>-328295</wp:posOffset>
          </wp:positionV>
          <wp:extent cx="6972300" cy="409575"/>
          <wp:effectExtent l="0" t="0" r="0" b="9525"/>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os-2014-brand-papeleria-3.jpg"/>
                  <pic:cNvPicPr/>
                </pic:nvPicPr>
                <pic:blipFill rotWithShape="1">
                  <a:blip r:embed="rId1">
                    <a:extLst>
                      <a:ext uri="{28A0092B-C50C-407E-A947-70E740481C1C}">
                        <a14:useLocalDpi xmlns:a14="http://schemas.microsoft.com/office/drawing/2010/main" val="0"/>
                      </a:ext>
                    </a:extLst>
                  </a:blip>
                  <a:srcRect t="90193" b="4051"/>
                  <a:stretch/>
                </pic:blipFill>
                <pic:spPr bwMode="auto">
                  <a:xfrm>
                    <a:off x="0" y="0"/>
                    <a:ext cx="6972300"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29D551" w14:textId="77777777" w:rsidR="00BA30D6" w:rsidRDefault="00BA30D6" w:rsidP="00F67E77">
      <w:pPr>
        <w:spacing w:after="0" w:line="240" w:lineRule="auto"/>
      </w:pPr>
      <w:r>
        <w:separator/>
      </w:r>
    </w:p>
  </w:footnote>
  <w:footnote w:type="continuationSeparator" w:id="0">
    <w:p w14:paraId="6AC3467D" w14:textId="77777777" w:rsidR="00BA30D6" w:rsidRDefault="00BA30D6" w:rsidP="00F67E77">
      <w:pPr>
        <w:spacing w:after="0" w:line="240" w:lineRule="auto"/>
      </w:pPr>
      <w:r>
        <w:continuationSeparator/>
      </w:r>
    </w:p>
  </w:footnote>
  <w:footnote w:type="continuationNotice" w:id="1">
    <w:p w14:paraId="6287480D" w14:textId="77777777" w:rsidR="00BA30D6" w:rsidRDefault="00BA30D6">
      <w:pPr>
        <w:spacing w:after="0" w:line="240" w:lineRule="auto"/>
      </w:pPr>
    </w:p>
  </w:footnote>
  <w:footnote w:id="2">
    <w:p w14:paraId="40EE716C" w14:textId="46A16C80" w:rsidR="007605E6" w:rsidRDefault="007605E6" w:rsidP="007605E6">
      <w:pPr>
        <w:pStyle w:val="Textonotapie"/>
      </w:pPr>
      <w:r w:rsidRPr="00C21625">
        <w:rPr>
          <w:rStyle w:val="Refdenotaalpie"/>
          <w:sz w:val="18"/>
          <w:szCs w:val="18"/>
        </w:rPr>
        <w:footnoteRef/>
      </w:r>
      <w:r w:rsidRPr="00C21625">
        <w:rPr>
          <w:sz w:val="18"/>
          <w:szCs w:val="18"/>
        </w:rPr>
        <w:t xml:space="preserve"> </w:t>
      </w:r>
      <w:r w:rsidRPr="00C21625">
        <w:rPr>
          <w:sz w:val="16"/>
          <w:szCs w:val="16"/>
        </w:rPr>
        <w:t>Fuente: Share of Market AC Nielsen, Enero-Diciembre 202</w:t>
      </w:r>
      <w:r w:rsidR="00C21625">
        <w:rPr>
          <w:sz w:val="16"/>
          <w:szCs w:val="16"/>
        </w:rPr>
        <w:t>2</w:t>
      </w:r>
      <w:r w:rsidRPr="00C21625">
        <w:rPr>
          <w:sz w:val="16"/>
          <w:szCs w:val="16"/>
        </w:rPr>
        <w:t>.</w:t>
      </w:r>
    </w:p>
  </w:footnote>
  <w:footnote w:id="3">
    <w:p w14:paraId="16822549" w14:textId="46787692" w:rsidR="007605E6" w:rsidRPr="00FD0ABD" w:rsidRDefault="007605E6" w:rsidP="007605E6">
      <w:pPr>
        <w:pStyle w:val="Textonotapie"/>
        <w:rPr>
          <w:lang w:val="es-ES"/>
        </w:rPr>
      </w:pPr>
      <w:r w:rsidRPr="00B858A7">
        <w:rPr>
          <w:rStyle w:val="Refdenotaalpie"/>
        </w:rPr>
        <w:footnoteRef/>
      </w:r>
      <w:r w:rsidRPr="00B858A7">
        <w:t xml:space="preserve"> </w:t>
      </w:r>
      <w:r w:rsidRPr="002F706B">
        <w:rPr>
          <w:sz w:val="14"/>
          <w:szCs w:val="14"/>
        </w:rPr>
        <w:t>Las variaciones que se muestran en esta sección corresponden al comparativo 202</w:t>
      </w:r>
      <w:r w:rsidR="000D2D95">
        <w:rPr>
          <w:sz w:val="14"/>
          <w:szCs w:val="14"/>
        </w:rPr>
        <w:t>1</w:t>
      </w:r>
      <w:r w:rsidRPr="002F706B">
        <w:rPr>
          <w:sz w:val="14"/>
          <w:szCs w:val="14"/>
        </w:rPr>
        <w:t xml:space="preserve"> vs. 202</w:t>
      </w:r>
      <w:r w:rsidR="000D2D95">
        <w:rPr>
          <w:sz w:val="14"/>
          <w:szCs w:val="14"/>
        </w:rPr>
        <w:t>2</w:t>
      </w:r>
      <w:r w:rsidRPr="002F706B">
        <w:rPr>
          <w:sz w:val="14"/>
          <w:szCs w:val="14"/>
        </w:rPr>
        <w:t xml:space="preserve"> vs. 202</w:t>
      </w:r>
      <w:r w:rsidR="000D2D95">
        <w:rPr>
          <w:sz w:val="14"/>
          <w:szCs w:val="14"/>
        </w:rPr>
        <w:t>3</w:t>
      </w:r>
      <w:r w:rsidRPr="00B858A7">
        <w:rPr>
          <w:sz w:val="18"/>
          <w:szCs w:val="18"/>
        </w:rPr>
        <w:t>.</w:t>
      </w:r>
    </w:p>
  </w:footnote>
  <w:footnote w:id="4">
    <w:p w14:paraId="72A38F3A" w14:textId="3A23F91D" w:rsidR="00E652F6" w:rsidRPr="00CF5636" w:rsidRDefault="00E652F6" w:rsidP="00E652F6">
      <w:pPr>
        <w:pStyle w:val="Textonotapie"/>
      </w:pPr>
      <w:r>
        <w:rPr>
          <w:rStyle w:val="Refdenotaalpie"/>
        </w:rPr>
        <w:footnoteRef/>
      </w:r>
      <w:r>
        <w:t xml:space="preserve"> </w:t>
      </w:r>
      <w:r w:rsidRPr="00334B60">
        <w:rPr>
          <w:sz w:val="18"/>
          <w:szCs w:val="18"/>
        </w:rPr>
        <w:t>Al 31 de diciembre de 202</w:t>
      </w:r>
      <w:r w:rsidR="004A6A44">
        <w:rPr>
          <w:sz w:val="18"/>
          <w:szCs w:val="18"/>
        </w:rPr>
        <w:t>3</w:t>
      </w:r>
      <w:r w:rsidRPr="00334B60">
        <w:rPr>
          <w:sz w:val="18"/>
          <w:szCs w:val="18"/>
        </w:rPr>
        <w:t xml:space="preserve"> y 202</w:t>
      </w:r>
      <w:r w:rsidR="004A6A44">
        <w:rPr>
          <w:sz w:val="18"/>
          <w:szCs w:val="18"/>
        </w:rPr>
        <w:t>2</w:t>
      </w:r>
      <w:r w:rsidRPr="00334B60">
        <w:rPr>
          <w:sz w:val="18"/>
          <w:szCs w:val="18"/>
        </w:rPr>
        <w:t xml:space="preserve">, se utilizaron los tipos de cambio de </w:t>
      </w:r>
      <w:r w:rsidR="004A6A44" w:rsidRPr="00334B60">
        <w:rPr>
          <w:sz w:val="18"/>
          <w:szCs w:val="18"/>
        </w:rPr>
        <w:t>¢</w:t>
      </w:r>
      <w:r w:rsidR="00477247">
        <w:rPr>
          <w:sz w:val="18"/>
          <w:szCs w:val="18"/>
        </w:rPr>
        <w:t>526.88</w:t>
      </w:r>
      <w:r w:rsidR="004A6A44" w:rsidRPr="00334B60">
        <w:rPr>
          <w:sz w:val="18"/>
          <w:szCs w:val="18"/>
        </w:rPr>
        <w:t xml:space="preserve"> </w:t>
      </w:r>
      <w:r w:rsidR="004A6A44">
        <w:rPr>
          <w:sz w:val="18"/>
          <w:szCs w:val="18"/>
        </w:rPr>
        <w:t xml:space="preserve">y </w:t>
      </w:r>
      <w:r w:rsidRPr="00334B60">
        <w:rPr>
          <w:sz w:val="18"/>
          <w:szCs w:val="18"/>
        </w:rPr>
        <w:t>¢6</w:t>
      </w:r>
      <w:r>
        <w:rPr>
          <w:sz w:val="18"/>
          <w:szCs w:val="18"/>
        </w:rPr>
        <w:t>01,99</w:t>
      </w:r>
      <w:r w:rsidRPr="00334B60">
        <w:rPr>
          <w:sz w:val="18"/>
          <w:szCs w:val="18"/>
        </w:rPr>
        <w:t xml:space="preserve"> por US$1,00</w:t>
      </w:r>
      <w:r w:rsidRPr="00466CEE">
        <w:rPr>
          <w:sz w:val="18"/>
          <w:szCs w:val="18"/>
        </w:rPr>
        <w:t>, respectivamente</w:t>
      </w:r>
      <w:r>
        <w:rPr>
          <w:sz w:val="18"/>
          <w:szCs w:val="18"/>
        </w:rPr>
        <w:t xml:space="preserve">, </w:t>
      </w:r>
      <w:r w:rsidRPr="00466CEE">
        <w:rPr>
          <w:sz w:val="18"/>
          <w:szCs w:val="18"/>
        </w:rPr>
        <w:t>para val</w:t>
      </w:r>
      <w:r>
        <w:rPr>
          <w:sz w:val="18"/>
          <w:szCs w:val="18"/>
        </w:rPr>
        <w:t>orar</w:t>
      </w:r>
      <w:r w:rsidRPr="00466CEE">
        <w:rPr>
          <w:sz w:val="18"/>
          <w:szCs w:val="18"/>
        </w:rPr>
        <w:t xml:space="preserve"> los activos y pasivos monetarios denominados en moneda extranjera</w:t>
      </w:r>
      <w:r>
        <w:rPr>
          <w:sz w:val="18"/>
          <w:szCs w:val="18"/>
        </w:rPr>
        <w:t>.</w:t>
      </w:r>
    </w:p>
  </w:footnote>
  <w:footnote w:id="5">
    <w:p w14:paraId="1B231B23" w14:textId="77777777" w:rsidR="007605E6" w:rsidRPr="006C1922" w:rsidRDefault="007605E6" w:rsidP="007605E6">
      <w:pPr>
        <w:pStyle w:val="Textonotapie"/>
        <w:rPr>
          <w:lang w:val="es-ES"/>
        </w:rPr>
      </w:pPr>
      <w:r>
        <w:rPr>
          <w:rStyle w:val="Refdenotaalpie"/>
        </w:rPr>
        <w:footnoteRef/>
      </w:r>
      <w:r>
        <w:t xml:space="preserve"> </w:t>
      </w:r>
      <w:r w:rsidRPr="005E1D28">
        <w:rPr>
          <w:sz w:val="18"/>
          <w:szCs w:val="18"/>
          <w:lang w:val="es-ES"/>
        </w:rPr>
        <w:t>Contempla: Personas Físicas Extranjeras Residentes, Personas Físicas Extranjeras No Residentes y Personas Jurídicas Extranjeras</w:t>
      </w:r>
      <w:r>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103"/>
      <w:gridCol w:w="2415"/>
    </w:tblGrid>
    <w:tr w:rsidR="00A427D0" w:rsidRPr="003173E0" w14:paraId="6399C158" w14:textId="77777777" w:rsidTr="004B6579">
      <w:tc>
        <w:tcPr>
          <w:tcW w:w="2552" w:type="dxa"/>
          <w:vAlign w:val="center"/>
        </w:tcPr>
        <w:p w14:paraId="1985CD6F" w14:textId="77777777" w:rsidR="00A427D0" w:rsidRPr="003173E0" w:rsidRDefault="00A427D0" w:rsidP="007C2650">
          <w:pPr>
            <w:pStyle w:val="Encabezado"/>
            <w:jc w:val="left"/>
          </w:pPr>
          <w:r w:rsidRPr="003173E0">
            <w:rPr>
              <w:noProof/>
            </w:rPr>
            <w:drawing>
              <wp:inline distT="0" distB="0" distL="0" distR="0" wp14:anchorId="29DC2600" wp14:editId="7DAAA7D6">
                <wp:extent cx="724072" cy="29410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IFCO nuevo png.png"/>
                        <pic:cNvPicPr/>
                      </pic:nvPicPr>
                      <pic:blipFill>
                        <a:blip r:embed="rId1">
                          <a:extLst>
                            <a:ext uri="{28A0092B-C50C-407E-A947-70E740481C1C}">
                              <a14:useLocalDpi xmlns:a14="http://schemas.microsoft.com/office/drawing/2010/main" val="0"/>
                            </a:ext>
                          </a:extLst>
                        </a:blip>
                        <a:stretch>
                          <a:fillRect/>
                        </a:stretch>
                      </pic:blipFill>
                      <pic:spPr>
                        <a:xfrm>
                          <a:off x="0" y="0"/>
                          <a:ext cx="773818" cy="314312"/>
                        </a:xfrm>
                        <a:prstGeom prst="rect">
                          <a:avLst/>
                        </a:prstGeom>
                      </pic:spPr>
                    </pic:pic>
                  </a:graphicData>
                </a:graphic>
              </wp:inline>
            </w:drawing>
          </w:r>
        </w:p>
      </w:tc>
      <w:tc>
        <w:tcPr>
          <w:tcW w:w="5103" w:type="dxa"/>
          <w:vAlign w:val="center"/>
        </w:tcPr>
        <w:p w14:paraId="3D26CD14" w14:textId="77777777" w:rsidR="00A427D0" w:rsidRPr="001C4F79" w:rsidRDefault="00A427D0" w:rsidP="004B6579">
          <w:pPr>
            <w:pStyle w:val="Encabezado"/>
            <w:jc w:val="center"/>
            <w:rPr>
              <w:i/>
              <w:iCs/>
              <w:lang w:val="en-US"/>
            </w:rPr>
          </w:pPr>
          <w:r w:rsidRPr="001C4F79">
            <w:rPr>
              <w:i/>
              <w:iCs/>
              <w:sz w:val="18"/>
              <w:szCs w:val="21"/>
              <w:lang w:val="en-US"/>
            </w:rPr>
            <w:t>Florida Ice and Farm Company S.A. - Prospecto</w:t>
          </w:r>
        </w:p>
      </w:tc>
      <w:tc>
        <w:tcPr>
          <w:tcW w:w="2415" w:type="dxa"/>
          <w:vAlign w:val="center"/>
        </w:tcPr>
        <w:p w14:paraId="1496431F" w14:textId="77777777" w:rsidR="00A427D0" w:rsidRPr="003173E0" w:rsidRDefault="00A427D0" w:rsidP="007C2650">
          <w:pPr>
            <w:pStyle w:val="Encabezado"/>
            <w:jc w:val="right"/>
            <w:rPr>
              <w:sz w:val="18"/>
              <w:szCs w:val="20"/>
            </w:rPr>
          </w:pPr>
          <w:r w:rsidRPr="003173E0">
            <w:rPr>
              <w:sz w:val="18"/>
              <w:szCs w:val="20"/>
            </w:rPr>
            <w:fldChar w:fldCharType="begin"/>
          </w:r>
          <w:r w:rsidRPr="003173E0">
            <w:rPr>
              <w:sz w:val="18"/>
              <w:szCs w:val="20"/>
            </w:rPr>
            <w:instrText xml:space="preserve"> PAGE  \* Arabic  \* MERGEFORMAT </w:instrText>
          </w:r>
          <w:r w:rsidRPr="003173E0">
            <w:rPr>
              <w:sz w:val="18"/>
              <w:szCs w:val="20"/>
            </w:rPr>
            <w:fldChar w:fldCharType="separate"/>
          </w:r>
          <w:r w:rsidRPr="003173E0">
            <w:rPr>
              <w:noProof/>
              <w:sz w:val="18"/>
              <w:szCs w:val="20"/>
            </w:rPr>
            <w:t>3</w:t>
          </w:r>
          <w:r w:rsidRPr="003173E0">
            <w:rPr>
              <w:sz w:val="18"/>
              <w:szCs w:val="20"/>
            </w:rPr>
            <w:fldChar w:fldCharType="end"/>
          </w:r>
          <w:r w:rsidRPr="003173E0">
            <w:rPr>
              <w:sz w:val="18"/>
              <w:szCs w:val="20"/>
            </w:rPr>
            <w:t xml:space="preserve"> de </w:t>
          </w:r>
          <w:r w:rsidRPr="003173E0">
            <w:rPr>
              <w:sz w:val="18"/>
              <w:szCs w:val="20"/>
            </w:rPr>
            <w:fldChar w:fldCharType="begin"/>
          </w:r>
          <w:r w:rsidRPr="003173E0">
            <w:rPr>
              <w:sz w:val="18"/>
              <w:szCs w:val="20"/>
            </w:rPr>
            <w:instrText xml:space="preserve"> NUMPAGES  \* Arabic  \* MERGEFORMAT </w:instrText>
          </w:r>
          <w:r w:rsidRPr="003173E0">
            <w:rPr>
              <w:sz w:val="18"/>
              <w:szCs w:val="20"/>
            </w:rPr>
            <w:fldChar w:fldCharType="separate"/>
          </w:r>
          <w:r w:rsidRPr="003173E0">
            <w:rPr>
              <w:noProof/>
              <w:sz w:val="18"/>
              <w:szCs w:val="20"/>
            </w:rPr>
            <w:t>31</w:t>
          </w:r>
          <w:r w:rsidRPr="003173E0">
            <w:rPr>
              <w:sz w:val="18"/>
              <w:szCs w:val="20"/>
            </w:rPr>
            <w:fldChar w:fldCharType="end"/>
          </w:r>
        </w:p>
      </w:tc>
    </w:tr>
  </w:tbl>
  <w:p w14:paraId="1C9B38F1" w14:textId="77777777" w:rsidR="00A427D0" w:rsidRPr="003C430D" w:rsidRDefault="00A427D0">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A42D5"/>
    <w:multiLevelType w:val="hybridMultilevel"/>
    <w:tmpl w:val="6106B2F2"/>
    <w:lvl w:ilvl="0" w:tplc="040A000F">
      <w:start w:val="1"/>
      <w:numFmt w:val="decimal"/>
      <w:lvlText w:val="%1."/>
      <w:lvlJc w:val="left"/>
      <w:pPr>
        <w:ind w:left="927"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 w15:restartNumberingAfterBreak="0">
    <w:nsid w:val="01D875DB"/>
    <w:multiLevelType w:val="hybridMultilevel"/>
    <w:tmpl w:val="6152DAD4"/>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2" w15:restartNumberingAfterBreak="0">
    <w:nsid w:val="03F62EAB"/>
    <w:multiLevelType w:val="hybridMultilevel"/>
    <w:tmpl w:val="25E8B882"/>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3" w15:restartNumberingAfterBreak="0">
    <w:nsid w:val="07ED2F91"/>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 w15:restartNumberingAfterBreak="0">
    <w:nsid w:val="088BB142"/>
    <w:multiLevelType w:val="hybridMultilevel"/>
    <w:tmpl w:val="FFFFFFFF"/>
    <w:lvl w:ilvl="0" w:tplc="31109038">
      <w:start w:val="1"/>
      <w:numFmt w:val="bullet"/>
      <w:lvlText w:val=""/>
      <w:lvlJc w:val="left"/>
      <w:pPr>
        <w:ind w:left="720" w:hanging="360"/>
      </w:pPr>
      <w:rPr>
        <w:rFonts w:ascii="Symbol" w:hAnsi="Symbol" w:hint="default"/>
      </w:rPr>
    </w:lvl>
    <w:lvl w:ilvl="1" w:tplc="19F2B086">
      <w:start w:val="1"/>
      <w:numFmt w:val="bullet"/>
      <w:lvlText w:val="o"/>
      <w:lvlJc w:val="left"/>
      <w:pPr>
        <w:ind w:left="1440" w:hanging="360"/>
      </w:pPr>
      <w:rPr>
        <w:rFonts w:ascii="Courier New" w:hAnsi="Courier New" w:hint="default"/>
      </w:rPr>
    </w:lvl>
    <w:lvl w:ilvl="2" w:tplc="9F1679D6">
      <w:start w:val="1"/>
      <w:numFmt w:val="bullet"/>
      <w:lvlText w:val=""/>
      <w:lvlJc w:val="left"/>
      <w:pPr>
        <w:ind w:left="2160" w:hanging="360"/>
      </w:pPr>
      <w:rPr>
        <w:rFonts w:ascii="Wingdings" w:hAnsi="Wingdings" w:hint="default"/>
      </w:rPr>
    </w:lvl>
    <w:lvl w:ilvl="3" w:tplc="6C9896DA">
      <w:start w:val="1"/>
      <w:numFmt w:val="bullet"/>
      <w:lvlText w:val=""/>
      <w:lvlJc w:val="left"/>
      <w:pPr>
        <w:ind w:left="2880" w:hanging="360"/>
      </w:pPr>
      <w:rPr>
        <w:rFonts w:ascii="Symbol" w:hAnsi="Symbol" w:hint="default"/>
      </w:rPr>
    </w:lvl>
    <w:lvl w:ilvl="4" w:tplc="BD4CB656">
      <w:start w:val="1"/>
      <w:numFmt w:val="bullet"/>
      <w:lvlText w:val="o"/>
      <w:lvlJc w:val="left"/>
      <w:pPr>
        <w:ind w:left="3600" w:hanging="360"/>
      </w:pPr>
      <w:rPr>
        <w:rFonts w:ascii="Courier New" w:hAnsi="Courier New" w:hint="default"/>
      </w:rPr>
    </w:lvl>
    <w:lvl w:ilvl="5" w:tplc="B104912A">
      <w:start w:val="1"/>
      <w:numFmt w:val="bullet"/>
      <w:lvlText w:val=""/>
      <w:lvlJc w:val="left"/>
      <w:pPr>
        <w:ind w:left="4320" w:hanging="360"/>
      </w:pPr>
      <w:rPr>
        <w:rFonts w:ascii="Wingdings" w:hAnsi="Wingdings" w:hint="default"/>
      </w:rPr>
    </w:lvl>
    <w:lvl w:ilvl="6" w:tplc="6EB0DF3E">
      <w:start w:val="1"/>
      <w:numFmt w:val="bullet"/>
      <w:lvlText w:val=""/>
      <w:lvlJc w:val="left"/>
      <w:pPr>
        <w:ind w:left="5040" w:hanging="360"/>
      </w:pPr>
      <w:rPr>
        <w:rFonts w:ascii="Symbol" w:hAnsi="Symbol" w:hint="default"/>
      </w:rPr>
    </w:lvl>
    <w:lvl w:ilvl="7" w:tplc="DB82BFBA">
      <w:start w:val="1"/>
      <w:numFmt w:val="bullet"/>
      <w:lvlText w:val="o"/>
      <w:lvlJc w:val="left"/>
      <w:pPr>
        <w:ind w:left="5760" w:hanging="360"/>
      </w:pPr>
      <w:rPr>
        <w:rFonts w:ascii="Courier New" w:hAnsi="Courier New" w:hint="default"/>
      </w:rPr>
    </w:lvl>
    <w:lvl w:ilvl="8" w:tplc="C75E0D2C">
      <w:start w:val="1"/>
      <w:numFmt w:val="bullet"/>
      <w:lvlText w:val=""/>
      <w:lvlJc w:val="left"/>
      <w:pPr>
        <w:ind w:left="6480" w:hanging="360"/>
      </w:pPr>
      <w:rPr>
        <w:rFonts w:ascii="Wingdings" w:hAnsi="Wingdings" w:hint="default"/>
      </w:rPr>
    </w:lvl>
  </w:abstractNum>
  <w:abstractNum w:abstractNumId="5" w15:restartNumberingAfterBreak="0">
    <w:nsid w:val="0E8145F2"/>
    <w:multiLevelType w:val="hybridMultilevel"/>
    <w:tmpl w:val="A6EAF63A"/>
    <w:lvl w:ilvl="0" w:tplc="9DDCABA0">
      <w:start w:val="1"/>
      <w:numFmt w:val="bullet"/>
      <w:lvlText w:val=""/>
      <w:lvlJc w:val="left"/>
      <w:pPr>
        <w:ind w:left="720" w:hanging="360"/>
      </w:pPr>
      <w:rPr>
        <w:rFonts w:ascii="Symbol" w:hAnsi="Symbol" w:hint="default"/>
      </w:rPr>
    </w:lvl>
    <w:lvl w:ilvl="1" w:tplc="91A86776">
      <w:start w:val="1"/>
      <w:numFmt w:val="bullet"/>
      <w:lvlText w:val="o"/>
      <w:lvlJc w:val="left"/>
      <w:pPr>
        <w:ind w:left="1440" w:hanging="360"/>
      </w:pPr>
      <w:rPr>
        <w:rFonts w:ascii="Courier New" w:hAnsi="Courier New" w:hint="default"/>
      </w:rPr>
    </w:lvl>
    <w:lvl w:ilvl="2" w:tplc="80B2901A">
      <w:start w:val="1"/>
      <w:numFmt w:val="bullet"/>
      <w:lvlText w:val=""/>
      <w:lvlJc w:val="left"/>
      <w:pPr>
        <w:ind w:left="2160" w:hanging="360"/>
      </w:pPr>
      <w:rPr>
        <w:rFonts w:ascii="Wingdings" w:hAnsi="Wingdings" w:hint="default"/>
      </w:rPr>
    </w:lvl>
    <w:lvl w:ilvl="3" w:tplc="D9A4F99C">
      <w:start w:val="1"/>
      <w:numFmt w:val="bullet"/>
      <w:lvlText w:val=""/>
      <w:lvlJc w:val="left"/>
      <w:pPr>
        <w:ind w:left="2880" w:hanging="360"/>
      </w:pPr>
      <w:rPr>
        <w:rFonts w:ascii="Symbol" w:hAnsi="Symbol" w:hint="default"/>
      </w:rPr>
    </w:lvl>
    <w:lvl w:ilvl="4" w:tplc="7C4270BC">
      <w:start w:val="1"/>
      <w:numFmt w:val="bullet"/>
      <w:lvlText w:val="o"/>
      <w:lvlJc w:val="left"/>
      <w:pPr>
        <w:ind w:left="3600" w:hanging="360"/>
      </w:pPr>
      <w:rPr>
        <w:rFonts w:ascii="Courier New" w:hAnsi="Courier New" w:hint="default"/>
      </w:rPr>
    </w:lvl>
    <w:lvl w:ilvl="5" w:tplc="765E50D0">
      <w:start w:val="1"/>
      <w:numFmt w:val="bullet"/>
      <w:lvlText w:val=""/>
      <w:lvlJc w:val="left"/>
      <w:pPr>
        <w:ind w:left="4320" w:hanging="360"/>
      </w:pPr>
      <w:rPr>
        <w:rFonts w:ascii="Wingdings" w:hAnsi="Wingdings" w:hint="default"/>
      </w:rPr>
    </w:lvl>
    <w:lvl w:ilvl="6" w:tplc="D42E88F8">
      <w:start w:val="1"/>
      <w:numFmt w:val="bullet"/>
      <w:lvlText w:val=""/>
      <w:lvlJc w:val="left"/>
      <w:pPr>
        <w:ind w:left="5040" w:hanging="360"/>
      </w:pPr>
      <w:rPr>
        <w:rFonts w:ascii="Symbol" w:hAnsi="Symbol" w:hint="default"/>
      </w:rPr>
    </w:lvl>
    <w:lvl w:ilvl="7" w:tplc="F24CD76E">
      <w:start w:val="1"/>
      <w:numFmt w:val="bullet"/>
      <w:lvlText w:val="o"/>
      <w:lvlJc w:val="left"/>
      <w:pPr>
        <w:ind w:left="5760" w:hanging="360"/>
      </w:pPr>
      <w:rPr>
        <w:rFonts w:ascii="Courier New" w:hAnsi="Courier New" w:hint="default"/>
      </w:rPr>
    </w:lvl>
    <w:lvl w:ilvl="8" w:tplc="2A544818">
      <w:start w:val="1"/>
      <w:numFmt w:val="bullet"/>
      <w:lvlText w:val=""/>
      <w:lvlJc w:val="left"/>
      <w:pPr>
        <w:ind w:left="6480" w:hanging="360"/>
      </w:pPr>
      <w:rPr>
        <w:rFonts w:ascii="Wingdings" w:hAnsi="Wingdings" w:hint="default"/>
      </w:rPr>
    </w:lvl>
  </w:abstractNum>
  <w:abstractNum w:abstractNumId="6" w15:restartNumberingAfterBreak="0">
    <w:nsid w:val="0F531D6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2C12832"/>
    <w:multiLevelType w:val="hybridMultilevel"/>
    <w:tmpl w:val="7170775C"/>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B40E0F"/>
    <w:multiLevelType w:val="hybridMultilevel"/>
    <w:tmpl w:val="EFAADE16"/>
    <w:lvl w:ilvl="0" w:tplc="5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16596212"/>
    <w:multiLevelType w:val="hybridMultilevel"/>
    <w:tmpl w:val="98DCAEA0"/>
    <w:lvl w:ilvl="0" w:tplc="9B745008">
      <w:start w:val="1"/>
      <w:numFmt w:val="bullet"/>
      <w:lvlText w:val=""/>
      <w:lvlJc w:val="left"/>
      <w:pPr>
        <w:ind w:left="720" w:hanging="360"/>
      </w:pPr>
      <w:rPr>
        <w:rFonts w:ascii="Symbol" w:hAnsi="Symbol" w:hint="default"/>
      </w:rPr>
    </w:lvl>
    <w:lvl w:ilvl="1" w:tplc="B6567740">
      <w:start w:val="1"/>
      <w:numFmt w:val="bullet"/>
      <w:lvlText w:val="o"/>
      <w:lvlJc w:val="left"/>
      <w:pPr>
        <w:ind w:left="1440" w:hanging="360"/>
      </w:pPr>
      <w:rPr>
        <w:rFonts w:ascii="Courier New" w:hAnsi="Courier New" w:hint="default"/>
      </w:rPr>
    </w:lvl>
    <w:lvl w:ilvl="2" w:tplc="374CE47E">
      <w:start w:val="1"/>
      <w:numFmt w:val="bullet"/>
      <w:lvlText w:val=""/>
      <w:lvlJc w:val="left"/>
      <w:pPr>
        <w:ind w:left="2160" w:hanging="360"/>
      </w:pPr>
      <w:rPr>
        <w:rFonts w:ascii="Wingdings" w:hAnsi="Wingdings" w:hint="default"/>
      </w:rPr>
    </w:lvl>
    <w:lvl w:ilvl="3" w:tplc="63B8071E">
      <w:start w:val="1"/>
      <w:numFmt w:val="bullet"/>
      <w:lvlText w:val=""/>
      <w:lvlJc w:val="left"/>
      <w:pPr>
        <w:ind w:left="2880" w:hanging="360"/>
      </w:pPr>
      <w:rPr>
        <w:rFonts w:ascii="Symbol" w:hAnsi="Symbol" w:hint="default"/>
      </w:rPr>
    </w:lvl>
    <w:lvl w:ilvl="4" w:tplc="52B6894E">
      <w:start w:val="1"/>
      <w:numFmt w:val="bullet"/>
      <w:lvlText w:val="o"/>
      <w:lvlJc w:val="left"/>
      <w:pPr>
        <w:ind w:left="3600" w:hanging="360"/>
      </w:pPr>
      <w:rPr>
        <w:rFonts w:ascii="Courier New" w:hAnsi="Courier New" w:hint="default"/>
      </w:rPr>
    </w:lvl>
    <w:lvl w:ilvl="5" w:tplc="1C343CAA">
      <w:start w:val="1"/>
      <w:numFmt w:val="bullet"/>
      <w:lvlText w:val=""/>
      <w:lvlJc w:val="left"/>
      <w:pPr>
        <w:ind w:left="4320" w:hanging="360"/>
      </w:pPr>
      <w:rPr>
        <w:rFonts w:ascii="Wingdings" w:hAnsi="Wingdings" w:hint="default"/>
      </w:rPr>
    </w:lvl>
    <w:lvl w:ilvl="6" w:tplc="D1B0E97C">
      <w:start w:val="1"/>
      <w:numFmt w:val="bullet"/>
      <w:lvlText w:val=""/>
      <w:lvlJc w:val="left"/>
      <w:pPr>
        <w:ind w:left="5040" w:hanging="360"/>
      </w:pPr>
      <w:rPr>
        <w:rFonts w:ascii="Symbol" w:hAnsi="Symbol" w:hint="default"/>
      </w:rPr>
    </w:lvl>
    <w:lvl w:ilvl="7" w:tplc="C8447A82">
      <w:start w:val="1"/>
      <w:numFmt w:val="bullet"/>
      <w:lvlText w:val="o"/>
      <w:lvlJc w:val="left"/>
      <w:pPr>
        <w:ind w:left="5760" w:hanging="360"/>
      </w:pPr>
      <w:rPr>
        <w:rFonts w:ascii="Courier New" w:hAnsi="Courier New" w:hint="default"/>
      </w:rPr>
    </w:lvl>
    <w:lvl w:ilvl="8" w:tplc="54F0E768">
      <w:start w:val="1"/>
      <w:numFmt w:val="bullet"/>
      <w:lvlText w:val=""/>
      <w:lvlJc w:val="left"/>
      <w:pPr>
        <w:ind w:left="6480" w:hanging="360"/>
      </w:pPr>
      <w:rPr>
        <w:rFonts w:ascii="Wingdings" w:hAnsi="Wingdings" w:hint="default"/>
      </w:rPr>
    </w:lvl>
  </w:abstractNum>
  <w:abstractNum w:abstractNumId="10" w15:restartNumberingAfterBreak="0">
    <w:nsid w:val="1CF10ACA"/>
    <w:multiLevelType w:val="hybridMultilevel"/>
    <w:tmpl w:val="160E91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FC633DE"/>
    <w:multiLevelType w:val="multilevel"/>
    <w:tmpl w:val="9304952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60F6D2E"/>
    <w:multiLevelType w:val="hybridMultilevel"/>
    <w:tmpl w:val="453EBCAC"/>
    <w:lvl w:ilvl="0" w:tplc="8460DC44">
      <w:start w:val="1"/>
      <w:numFmt w:val="bullet"/>
      <w:lvlText w:val=""/>
      <w:lvlJc w:val="left"/>
      <w:pPr>
        <w:ind w:left="720" w:hanging="360"/>
      </w:pPr>
      <w:rPr>
        <w:rFonts w:ascii="Symbol" w:hAnsi="Symbol" w:hint="default"/>
      </w:rPr>
    </w:lvl>
    <w:lvl w:ilvl="1" w:tplc="BF20A212">
      <w:start w:val="1"/>
      <w:numFmt w:val="bullet"/>
      <w:lvlText w:val="o"/>
      <w:lvlJc w:val="left"/>
      <w:pPr>
        <w:ind w:left="1440" w:hanging="360"/>
      </w:pPr>
      <w:rPr>
        <w:rFonts w:ascii="Courier New" w:hAnsi="Courier New" w:hint="default"/>
      </w:rPr>
    </w:lvl>
    <w:lvl w:ilvl="2" w:tplc="F704F770">
      <w:start w:val="1"/>
      <w:numFmt w:val="bullet"/>
      <w:lvlText w:val=""/>
      <w:lvlJc w:val="left"/>
      <w:pPr>
        <w:ind w:left="2160" w:hanging="360"/>
      </w:pPr>
      <w:rPr>
        <w:rFonts w:ascii="Wingdings" w:hAnsi="Wingdings" w:hint="default"/>
      </w:rPr>
    </w:lvl>
    <w:lvl w:ilvl="3" w:tplc="17102280">
      <w:start w:val="1"/>
      <w:numFmt w:val="bullet"/>
      <w:lvlText w:val=""/>
      <w:lvlJc w:val="left"/>
      <w:pPr>
        <w:ind w:left="2880" w:hanging="360"/>
      </w:pPr>
      <w:rPr>
        <w:rFonts w:ascii="Symbol" w:hAnsi="Symbol" w:hint="default"/>
      </w:rPr>
    </w:lvl>
    <w:lvl w:ilvl="4" w:tplc="F62EDB5C">
      <w:start w:val="1"/>
      <w:numFmt w:val="bullet"/>
      <w:lvlText w:val="o"/>
      <w:lvlJc w:val="left"/>
      <w:pPr>
        <w:ind w:left="3600" w:hanging="360"/>
      </w:pPr>
      <w:rPr>
        <w:rFonts w:ascii="Courier New" w:hAnsi="Courier New" w:hint="default"/>
      </w:rPr>
    </w:lvl>
    <w:lvl w:ilvl="5" w:tplc="04B01D38">
      <w:start w:val="1"/>
      <w:numFmt w:val="bullet"/>
      <w:lvlText w:val=""/>
      <w:lvlJc w:val="left"/>
      <w:pPr>
        <w:ind w:left="4320" w:hanging="360"/>
      </w:pPr>
      <w:rPr>
        <w:rFonts w:ascii="Wingdings" w:hAnsi="Wingdings" w:hint="default"/>
      </w:rPr>
    </w:lvl>
    <w:lvl w:ilvl="6" w:tplc="705A8E16">
      <w:start w:val="1"/>
      <w:numFmt w:val="bullet"/>
      <w:lvlText w:val=""/>
      <w:lvlJc w:val="left"/>
      <w:pPr>
        <w:ind w:left="5040" w:hanging="360"/>
      </w:pPr>
      <w:rPr>
        <w:rFonts w:ascii="Symbol" w:hAnsi="Symbol" w:hint="default"/>
      </w:rPr>
    </w:lvl>
    <w:lvl w:ilvl="7" w:tplc="4A6A5034">
      <w:start w:val="1"/>
      <w:numFmt w:val="bullet"/>
      <w:lvlText w:val="o"/>
      <w:lvlJc w:val="left"/>
      <w:pPr>
        <w:ind w:left="5760" w:hanging="360"/>
      </w:pPr>
      <w:rPr>
        <w:rFonts w:ascii="Courier New" w:hAnsi="Courier New" w:hint="default"/>
      </w:rPr>
    </w:lvl>
    <w:lvl w:ilvl="8" w:tplc="61A8E698">
      <w:start w:val="1"/>
      <w:numFmt w:val="bullet"/>
      <w:lvlText w:val=""/>
      <w:lvlJc w:val="left"/>
      <w:pPr>
        <w:ind w:left="6480" w:hanging="360"/>
      </w:pPr>
      <w:rPr>
        <w:rFonts w:ascii="Wingdings" w:hAnsi="Wingdings" w:hint="default"/>
      </w:rPr>
    </w:lvl>
  </w:abstractNum>
  <w:abstractNum w:abstractNumId="13" w15:restartNumberingAfterBreak="0">
    <w:nsid w:val="287E2DF8"/>
    <w:multiLevelType w:val="hybridMultilevel"/>
    <w:tmpl w:val="88CC7B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88C2CBB"/>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5" w15:restartNumberingAfterBreak="0">
    <w:nsid w:val="2988B100"/>
    <w:multiLevelType w:val="hybridMultilevel"/>
    <w:tmpl w:val="1AAA4576"/>
    <w:lvl w:ilvl="0" w:tplc="3E1E5816">
      <w:start w:val="1"/>
      <w:numFmt w:val="bullet"/>
      <w:lvlText w:val=""/>
      <w:lvlJc w:val="left"/>
      <w:pPr>
        <w:ind w:left="720" w:hanging="360"/>
      </w:pPr>
      <w:rPr>
        <w:rFonts w:ascii="Symbol" w:hAnsi="Symbol" w:hint="default"/>
      </w:rPr>
    </w:lvl>
    <w:lvl w:ilvl="1" w:tplc="B4EAF0D8">
      <w:start w:val="1"/>
      <w:numFmt w:val="bullet"/>
      <w:lvlText w:val="o"/>
      <w:lvlJc w:val="left"/>
      <w:pPr>
        <w:ind w:left="1440" w:hanging="360"/>
      </w:pPr>
      <w:rPr>
        <w:rFonts w:ascii="Courier New" w:hAnsi="Courier New" w:hint="default"/>
      </w:rPr>
    </w:lvl>
    <w:lvl w:ilvl="2" w:tplc="1CD20BC0">
      <w:start w:val="1"/>
      <w:numFmt w:val="bullet"/>
      <w:lvlText w:val=""/>
      <w:lvlJc w:val="left"/>
      <w:pPr>
        <w:ind w:left="2160" w:hanging="360"/>
      </w:pPr>
      <w:rPr>
        <w:rFonts w:ascii="Wingdings" w:hAnsi="Wingdings" w:hint="default"/>
      </w:rPr>
    </w:lvl>
    <w:lvl w:ilvl="3" w:tplc="23D88CF2">
      <w:start w:val="1"/>
      <w:numFmt w:val="bullet"/>
      <w:lvlText w:val=""/>
      <w:lvlJc w:val="left"/>
      <w:pPr>
        <w:ind w:left="2880" w:hanging="360"/>
      </w:pPr>
      <w:rPr>
        <w:rFonts w:ascii="Symbol" w:hAnsi="Symbol" w:hint="default"/>
      </w:rPr>
    </w:lvl>
    <w:lvl w:ilvl="4" w:tplc="C6C2B8D2">
      <w:start w:val="1"/>
      <w:numFmt w:val="bullet"/>
      <w:lvlText w:val="o"/>
      <w:lvlJc w:val="left"/>
      <w:pPr>
        <w:ind w:left="3600" w:hanging="360"/>
      </w:pPr>
      <w:rPr>
        <w:rFonts w:ascii="Courier New" w:hAnsi="Courier New" w:hint="default"/>
      </w:rPr>
    </w:lvl>
    <w:lvl w:ilvl="5" w:tplc="E3F23928">
      <w:start w:val="1"/>
      <w:numFmt w:val="bullet"/>
      <w:lvlText w:val=""/>
      <w:lvlJc w:val="left"/>
      <w:pPr>
        <w:ind w:left="4320" w:hanging="360"/>
      </w:pPr>
      <w:rPr>
        <w:rFonts w:ascii="Wingdings" w:hAnsi="Wingdings" w:hint="default"/>
      </w:rPr>
    </w:lvl>
    <w:lvl w:ilvl="6" w:tplc="024444BA">
      <w:start w:val="1"/>
      <w:numFmt w:val="bullet"/>
      <w:lvlText w:val=""/>
      <w:lvlJc w:val="left"/>
      <w:pPr>
        <w:ind w:left="5040" w:hanging="360"/>
      </w:pPr>
      <w:rPr>
        <w:rFonts w:ascii="Symbol" w:hAnsi="Symbol" w:hint="default"/>
      </w:rPr>
    </w:lvl>
    <w:lvl w:ilvl="7" w:tplc="EF60B9B4">
      <w:start w:val="1"/>
      <w:numFmt w:val="bullet"/>
      <w:lvlText w:val="o"/>
      <w:lvlJc w:val="left"/>
      <w:pPr>
        <w:ind w:left="5760" w:hanging="360"/>
      </w:pPr>
      <w:rPr>
        <w:rFonts w:ascii="Courier New" w:hAnsi="Courier New" w:hint="default"/>
      </w:rPr>
    </w:lvl>
    <w:lvl w:ilvl="8" w:tplc="9E7A233A">
      <w:start w:val="1"/>
      <w:numFmt w:val="bullet"/>
      <w:lvlText w:val=""/>
      <w:lvlJc w:val="left"/>
      <w:pPr>
        <w:ind w:left="6480" w:hanging="360"/>
      </w:pPr>
      <w:rPr>
        <w:rFonts w:ascii="Wingdings" w:hAnsi="Wingdings" w:hint="default"/>
      </w:rPr>
    </w:lvl>
  </w:abstractNum>
  <w:abstractNum w:abstractNumId="16" w15:restartNumberingAfterBreak="0">
    <w:nsid w:val="2AEE3784"/>
    <w:multiLevelType w:val="hybridMultilevel"/>
    <w:tmpl w:val="156628D8"/>
    <w:lvl w:ilvl="0" w:tplc="D7B84360">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2B4A73D6"/>
    <w:multiLevelType w:val="hybridMultilevel"/>
    <w:tmpl w:val="08FC2238"/>
    <w:lvl w:ilvl="0" w:tplc="0FB880D4">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D2C32A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8C178F"/>
    <w:multiLevelType w:val="hybridMultilevel"/>
    <w:tmpl w:val="D9449F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1787DF2"/>
    <w:multiLevelType w:val="hybridMultilevel"/>
    <w:tmpl w:val="F10A9E74"/>
    <w:lvl w:ilvl="0" w:tplc="140A0017">
      <w:start w:val="1"/>
      <w:numFmt w:val="lowerLetter"/>
      <w:lvlText w:val="%1)"/>
      <w:lvlJc w:val="left"/>
      <w:pPr>
        <w:ind w:left="1068" w:hanging="360"/>
      </w:pPr>
    </w:lvl>
    <w:lvl w:ilvl="1" w:tplc="463A7678">
      <w:start w:val="1"/>
      <w:numFmt w:val="decimal"/>
      <w:lvlText w:val="%2."/>
      <w:lvlJc w:val="left"/>
      <w:pPr>
        <w:ind w:left="1788" w:hanging="360"/>
      </w:pPr>
      <w:rPr>
        <w:rFonts w:hint="default"/>
      </w:r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1" w15:restartNumberingAfterBreak="0">
    <w:nsid w:val="349E48F5"/>
    <w:multiLevelType w:val="hybridMultilevel"/>
    <w:tmpl w:val="FCCA6E6A"/>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22" w15:restartNumberingAfterBreak="0">
    <w:nsid w:val="36576F41"/>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7893AC1"/>
    <w:multiLevelType w:val="hybridMultilevel"/>
    <w:tmpl w:val="6D501616"/>
    <w:lvl w:ilvl="0" w:tplc="140A0013">
      <w:start w:val="1"/>
      <w:numFmt w:val="upperRoman"/>
      <w:lvlText w:val="%1."/>
      <w:lvlJc w:val="righ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4" w15:restartNumberingAfterBreak="0">
    <w:nsid w:val="383F1496"/>
    <w:multiLevelType w:val="hybridMultilevel"/>
    <w:tmpl w:val="77E4031E"/>
    <w:lvl w:ilvl="0" w:tplc="580A0019">
      <w:start w:val="1"/>
      <w:numFmt w:val="lowerLetter"/>
      <w:lvlText w:val="%1."/>
      <w:lvlJc w:val="left"/>
      <w:pPr>
        <w:ind w:left="786" w:hanging="360"/>
      </w:pPr>
      <w:rPr>
        <w:rFonts w:hint="default"/>
      </w:rPr>
    </w:lvl>
    <w:lvl w:ilvl="1" w:tplc="580A0019" w:tentative="1">
      <w:start w:val="1"/>
      <w:numFmt w:val="lowerLetter"/>
      <w:lvlText w:val="%2."/>
      <w:lvlJc w:val="left"/>
      <w:pPr>
        <w:ind w:left="1506" w:hanging="360"/>
      </w:pPr>
    </w:lvl>
    <w:lvl w:ilvl="2" w:tplc="580A001B" w:tentative="1">
      <w:start w:val="1"/>
      <w:numFmt w:val="lowerRoman"/>
      <w:lvlText w:val="%3."/>
      <w:lvlJc w:val="right"/>
      <w:pPr>
        <w:ind w:left="2226" w:hanging="180"/>
      </w:pPr>
    </w:lvl>
    <w:lvl w:ilvl="3" w:tplc="580A000F" w:tentative="1">
      <w:start w:val="1"/>
      <w:numFmt w:val="decimal"/>
      <w:lvlText w:val="%4."/>
      <w:lvlJc w:val="left"/>
      <w:pPr>
        <w:ind w:left="2946" w:hanging="360"/>
      </w:pPr>
    </w:lvl>
    <w:lvl w:ilvl="4" w:tplc="580A0019" w:tentative="1">
      <w:start w:val="1"/>
      <w:numFmt w:val="lowerLetter"/>
      <w:lvlText w:val="%5."/>
      <w:lvlJc w:val="left"/>
      <w:pPr>
        <w:ind w:left="3666" w:hanging="360"/>
      </w:pPr>
    </w:lvl>
    <w:lvl w:ilvl="5" w:tplc="580A001B" w:tentative="1">
      <w:start w:val="1"/>
      <w:numFmt w:val="lowerRoman"/>
      <w:lvlText w:val="%6."/>
      <w:lvlJc w:val="right"/>
      <w:pPr>
        <w:ind w:left="4386" w:hanging="180"/>
      </w:pPr>
    </w:lvl>
    <w:lvl w:ilvl="6" w:tplc="580A000F" w:tentative="1">
      <w:start w:val="1"/>
      <w:numFmt w:val="decimal"/>
      <w:lvlText w:val="%7."/>
      <w:lvlJc w:val="left"/>
      <w:pPr>
        <w:ind w:left="5106" w:hanging="360"/>
      </w:pPr>
    </w:lvl>
    <w:lvl w:ilvl="7" w:tplc="580A0019" w:tentative="1">
      <w:start w:val="1"/>
      <w:numFmt w:val="lowerLetter"/>
      <w:lvlText w:val="%8."/>
      <w:lvlJc w:val="left"/>
      <w:pPr>
        <w:ind w:left="5826" w:hanging="360"/>
      </w:pPr>
    </w:lvl>
    <w:lvl w:ilvl="8" w:tplc="580A001B" w:tentative="1">
      <w:start w:val="1"/>
      <w:numFmt w:val="lowerRoman"/>
      <w:lvlText w:val="%9."/>
      <w:lvlJc w:val="right"/>
      <w:pPr>
        <w:ind w:left="6546" w:hanging="180"/>
      </w:pPr>
    </w:lvl>
  </w:abstractNum>
  <w:abstractNum w:abstractNumId="25" w15:restartNumberingAfterBreak="0">
    <w:nsid w:val="3ADE28B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B173037"/>
    <w:multiLevelType w:val="hybridMultilevel"/>
    <w:tmpl w:val="39C6C580"/>
    <w:lvl w:ilvl="0" w:tplc="F9A01E28">
      <w:start w:val="2018"/>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3BEC12D7"/>
    <w:multiLevelType w:val="hybridMultilevel"/>
    <w:tmpl w:val="D72682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3D9D7EF6"/>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9" w15:restartNumberingAfterBreak="0">
    <w:nsid w:val="3F1A13AA"/>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0" w15:restartNumberingAfterBreak="0">
    <w:nsid w:val="405009C4"/>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1" w15:restartNumberingAfterBreak="0">
    <w:nsid w:val="41CA2BAF"/>
    <w:multiLevelType w:val="hybridMultilevel"/>
    <w:tmpl w:val="479444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48C26CD9"/>
    <w:multiLevelType w:val="hybridMultilevel"/>
    <w:tmpl w:val="25EC56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4A771AD1"/>
    <w:multiLevelType w:val="hybridMultilevel"/>
    <w:tmpl w:val="8E969488"/>
    <w:lvl w:ilvl="0" w:tplc="C890D2B6">
      <w:start w:val="1"/>
      <w:numFmt w:val="decimal"/>
      <w:lvlText w:val="%1."/>
      <w:lvlJc w:val="left"/>
      <w:pPr>
        <w:ind w:left="720" w:hanging="360"/>
      </w:pPr>
    </w:lvl>
    <w:lvl w:ilvl="1" w:tplc="1514040E">
      <w:start w:val="1"/>
      <w:numFmt w:val="lowerLetter"/>
      <w:lvlText w:val="%2."/>
      <w:lvlJc w:val="left"/>
      <w:pPr>
        <w:ind w:left="1440" w:hanging="360"/>
      </w:pPr>
    </w:lvl>
    <w:lvl w:ilvl="2" w:tplc="0756D128">
      <w:start w:val="1"/>
      <w:numFmt w:val="lowerRoman"/>
      <w:lvlText w:val="%3."/>
      <w:lvlJc w:val="right"/>
      <w:pPr>
        <w:ind w:left="2160" w:hanging="180"/>
      </w:pPr>
    </w:lvl>
    <w:lvl w:ilvl="3" w:tplc="6E2AA150">
      <w:start w:val="1"/>
      <w:numFmt w:val="decimal"/>
      <w:lvlText w:val="%4."/>
      <w:lvlJc w:val="left"/>
      <w:pPr>
        <w:ind w:left="2880" w:hanging="360"/>
      </w:pPr>
    </w:lvl>
    <w:lvl w:ilvl="4" w:tplc="035C34F0">
      <w:start w:val="1"/>
      <w:numFmt w:val="lowerLetter"/>
      <w:lvlText w:val="%5."/>
      <w:lvlJc w:val="left"/>
      <w:pPr>
        <w:ind w:left="3600" w:hanging="360"/>
      </w:pPr>
    </w:lvl>
    <w:lvl w:ilvl="5" w:tplc="456A811A">
      <w:start w:val="1"/>
      <w:numFmt w:val="lowerRoman"/>
      <w:lvlText w:val="%6."/>
      <w:lvlJc w:val="right"/>
      <w:pPr>
        <w:ind w:left="4320" w:hanging="180"/>
      </w:pPr>
    </w:lvl>
    <w:lvl w:ilvl="6" w:tplc="2058398C">
      <w:start w:val="1"/>
      <w:numFmt w:val="decimal"/>
      <w:lvlText w:val="%7."/>
      <w:lvlJc w:val="left"/>
      <w:pPr>
        <w:ind w:left="5040" w:hanging="360"/>
      </w:pPr>
    </w:lvl>
    <w:lvl w:ilvl="7" w:tplc="1E52A9EC">
      <w:start w:val="1"/>
      <w:numFmt w:val="lowerLetter"/>
      <w:lvlText w:val="%8."/>
      <w:lvlJc w:val="left"/>
      <w:pPr>
        <w:ind w:left="5760" w:hanging="360"/>
      </w:pPr>
    </w:lvl>
    <w:lvl w:ilvl="8" w:tplc="45B816A2">
      <w:start w:val="1"/>
      <w:numFmt w:val="lowerRoman"/>
      <w:lvlText w:val="%9."/>
      <w:lvlJc w:val="right"/>
      <w:pPr>
        <w:ind w:left="6480" w:hanging="180"/>
      </w:pPr>
    </w:lvl>
  </w:abstractNum>
  <w:abstractNum w:abstractNumId="34" w15:restartNumberingAfterBreak="0">
    <w:nsid w:val="4DC8359E"/>
    <w:multiLevelType w:val="hybridMultilevel"/>
    <w:tmpl w:val="BE80E02E"/>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505230E2"/>
    <w:multiLevelType w:val="hybridMultilevel"/>
    <w:tmpl w:val="0158D8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51446AEB"/>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7" w15:restartNumberingAfterBreak="0">
    <w:nsid w:val="52704F7E"/>
    <w:multiLevelType w:val="hybridMultilevel"/>
    <w:tmpl w:val="08FC2238"/>
    <w:lvl w:ilvl="0" w:tplc="0FB880D4">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5437088E"/>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6140A3A"/>
    <w:multiLevelType w:val="hybridMultilevel"/>
    <w:tmpl w:val="F03E10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565E1379"/>
    <w:multiLevelType w:val="multilevel"/>
    <w:tmpl w:val="140A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BA46FE6"/>
    <w:multiLevelType w:val="hybridMultilevel"/>
    <w:tmpl w:val="CD70C2EC"/>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42" w15:restartNumberingAfterBreak="0">
    <w:nsid w:val="5E6B733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EE66F39"/>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4" w15:restartNumberingAfterBreak="0">
    <w:nsid w:val="5FE64FAA"/>
    <w:multiLevelType w:val="hybridMultilevel"/>
    <w:tmpl w:val="09CC2200"/>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45" w15:restartNumberingAfterBreak="0">
    <w:nsid w:val="63AA313B"/>
    <w:multiLevelType w:val="hybridMultilevel"/>
    <w:tmpl w:val="1FDED082"/>
    <w:lvl w:ilvl="0" w:tplc="43EC1D2E">
      <w:start w:val="11"/>
      <w:numFmt w:val="bullet"/>
      <w:lvlText w:val="-"/>
      <w:lvlJc w:val="left"/>
      <w:pPr>
        <w:ind w:left="720" w:hanging="360"/>
      </w:pPr>
      <w:rPr>
        <w:rFonts w:ascii="Arial" w:eastAsia="Calibri"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6535666A"/>
    <w:multiLevelType w:val="hybridMultilevel"/>
    <w:tmpl w:val="F98E5574"/>
    <w:lvl w:ilvl="0" w:tplc="6944AEA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66B276D6"/>
    <w:multiLevelType w:val="hybridMultilevel"/>
    <w:tmpl w:val="49188B04"/>
    <w:lvl w:ilvl="0" w:tplc="140A000F">
      <w:start w:val="1"/>
      <w:numFmt w:val="decimal"/>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8" w15:restartNumberingAfterBreak="0">
    <w:nsid w:val="67417BAB"/>
    <w:multiLevelType w:val="hybridMultilevel"/>
    <w:tmpl w:val="5FA46E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6A8E18B1"/>
    <w:multiLevelType w:val="hybridMultilevel"/>
    <w:tmpl w:val="19505DDC"/>
    <w:lvl w:ilvl="0" w:tplc="140A0001">
      <w:start w:val="1"/>
      <w:numFmt w:val="bullet"/>
      <w:lvlText w:val=""/>
      <w:lvlJc w:val="left"/>
      <w:pPr>
        <w:ind w:left="720" w:hanging="360"/>
      </w:pPr>
      <w:rPr>
        <w:rFonts w:ascii="Symbol" w:hAnsi="Symbol" w:hint="default"/>
      </w:rPr>
    </w:lvl>
    <w:lvl w:ilvl="1" w:tplc="43EC1D2E">
      <w:start w:val="11"/>
      <w:numFmt w:val="bullet"/>
      <w:lvlText w:val="-"/>
      <w:lvlJc w:val="left"/>
      <w:pPr>
        <w:ind w:left="720" w:hanging="360"/>
      </w:pPr>
      <w:rPr>
        <w:rFonts w:ascii="Arial" w:eastAsia="Calibri" w:hAnsi="Arial" w:cs="Arial"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6DE254C9"/>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DE83776"/>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52" w15:restartNumberingAfterBreak="0">
    <w:nsid w:val="70750A9D"/>
    <w:multiLevelType w:val="hybridMultilevel"/>
    <w:tmpl w:val="9A36AD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15:restartNumberingAfterBreak="0">
    <w:nsid w:val="711346E9"/>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54" w15:restartNumberingAfterBreak="0">
    <w:nsid w:val="71EF38FC"/>
    <w:multiLevelType w:val="hybridMultilevel"/>
    <w:tmpl w:val="C62298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7BA117D8"/>
    <w:multiLevelType w:val="hybridMultilevel"/>
    <w:tmpl w:val="D458B7E4"/>
    <w:lvl w:ilvl="0" w:tplc="A0F45D1E">
      <w:start w:val="1"/>
      <w:numFmt w:val="upperLetter"/>
      <w:lvlText w:val="%1."/>
      <w:lvlJc w:val="left"/>
      <w:pPr>
        <w:ind w:left="786" w:hanging="360"/>
      </w:pPr>
      <w:rPr>
        <w:rFonts w:hint="default"/>
      </w:rPr>
    </w:lvl>
    <w:lvl w:ilvl="1" w:tplc="580A0019" w:tentative="1">
      <w:start w:val="1"/>
      <w:numFmt w:val="lowerLetter"/>
      <w:lvlText w:val="%2."/>
      <w:lvlJc w:val="left"/>
      <w:pPr>
        <w:ind w:left="1506" w:hanging="360"/>
      </w:pPr>
    </w:lvl>
    <w:lvl w:ilvl="2" w:tplc="580A001B" w:tentative="1">
      <w:start w:val="1"/>
      <w:numFmt w:val="lowerRoman"/>
      <w:lvlText w:val="%3."/>
      <w:lvlJc w:val="right"/>
      <w:pPr>
        <w:ind w:left="2226" w:hanging="180"/>
      </w:pPr>
    </w:lvl>
    <w:lvl w:ilvl="3" w:tplc="580A000F" w:tentative="1">
      <w:start w:val="1"/>
      <w:numFmt w:val="decimal"/>
      <w:lvlText w:val="%4."/>
      <w:lvlJc w:val="left"/>
      <w:pPr>
        <w:ind w:left="2946" w:hanging="360"/>
      </w:pPr>
    </w:lvl>
    <w:lvl w:ilvl="4" w:tplc="580A0019" w:tentative="1">
      <w:start w:val="1"/>
      <w:numFmt w:val="lowerLetter"/>
      <w:lvlText w:val="%5."/>
      <w:lvlJc w:val="left"/>
      <w:pPr>
        <w:ind w:left="3666" w:hanging="360"/>
      </w:pPr>
    </w:lvl>
    <w:lvl w:ilvl="5" w:tplc="580A001B" w:tentative="1">
      <w:start w:val="1"/>
      <w:numFmt w:val="lowerRoman"/>
      <w:lvlText w:val="%6."/>
      <w:lvlJc w:val="right"/>
      <w:pPr>
        <w:ind w:left="4386" w:hanging="180"/>
      </w:pPr>
    </w:lvl>
    <w:lvl w:ilvl="6" w:tplc="580A000F" w:tentative="1">
      <w:start w:val="1"/>
      <w:numFmt w:val="decimal"/>
      <w:lvlText w:val="%7."/>
      <w:lvlJc w:val="left"/>
      <w:pPr>
        <w:ind w:left="5106" w:hanging="360"/>
      </w:pPr>
    </w:lvl>
    <w:lvl w:ilvl="7" w:tplc="580A0019" w:tentative="1">
      <w:start w:val="1"/>
      <w:numFmt w:val="lowerLetter"/>
      <w:lvlText w:val="%8."/>
      <w:lvlJc w:val="left"/>
      <w:pPr>
        <w:ind w:left="5826" w:hanging="360"/>
      </w:pPr>
    </w:lvl>
    <w:lvl w:ilvl="8" w:tplc="580A001B" w:tentative="1">
      <w:start w:val="1"/>
      <w:numFmt w:val="lowerRoman"/>
      <w:lvlText w:val="%9."/>
      <w:lvlJc w:val="right"/>
      <w:pPr>
        <w:ind w:left="6546" w:hanging="180"/>
      </w:pPr>
    </w:lvl>
  </w:abstractNum>
  <w:abstractNum w:abstractNumId="56" w15:restartNumberingAfterBreak="0">
    <w:nsid w:val="7BDD2CB1"/>
    <w:multiLevelType w:val="hybridMultilevel"/>
    <w:tmpl w:val="59BC0B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7" w15:restartNumberingAfterBreak="0">
    <w:nsid w:val="7E17045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28273349">
    <w:abstractNumId w:val="56"/>
  </w:num>
  <w:num w:numId="2" w16cid:durableId="1101414468">
    <w:abstractNumId w:val="34"/>
  </w:num>
  <w:num w:numId="3" w16cid:durableId="1822189808">
    <w:abstractNumId w:val="37"/>
  </w:num>
  <w:num w:numId="4" w16cid:durableId="147675269">
    <w:abstractNumId w:val="23"/>
  </w:num>
  <w:num w:numId="5" w16cid:durableId="1824003813">
    <w:abstractNumId w:val="27"/>
  </w:num>
  <w:num w:numId="6" w16cid:durableId="268511353">
    <w:abstractNumId w:val="44"/>
  </w:num>
  <w:num w:numId="7" w16cid:durableId="1260680308">
    <w:abstractNumId w:val="35"/>
  </w:num>
  <w:num w:numId="8" w16cid:durableId="1947616189">
    <w:abstractNumId w:val="18"/>
  </w:num>
  <w:num w:numId="9" w16cid:durableId="907958859">
    <w:abstractNumId w:val="57"/>
  </w:num>
  <w:num w:numId="10" w16cid:durableId="1278563206">
    <w:abstractNumId w:val="22"/>
  </w:num>
  <w:num w:numId="11" w16cid:durableId="1953629965">
    <w:abstractNumId w:val="25"/>
  </w:num>
  <w:num w:numId="12" w16cid:durableId="342128812">
    <w:abstractNumId w:val="42"/>
  </w:num>
  <w:num w:numId="13" w16cid:durableId="1407612307">
    <w:abstractNumId w:val="38"/>
  </w:num>
  <w:num w:numId="14" w16cid:durableId="39716432">
    <w:abstractNumId w:val="50"/>
  </w:num>
  <w:num w:numId="15" w16cid:durableId="2014144386">
    <w:abstractNumId w:val="47"/>
  </w:num>
  <w:num w:numId="16" w16cid:durableId="203056257">
    <w:abstractNumId w:val="21"/>
  </w:num>
  <w:num w:numId="17" w16cid:durableId="1689794591">
    <w:abstractNumId w:val="19"/>
  </w:num>
  <w:num w:numId="18" w16cid:durableId="679816389">
    <w:abstractNumId w:val="39"/>
  </w:num>
  <w:num w:numId="19" w16cid:durableId="744304388">
    <w:abstractNumId w:val="3"/>
  </w:num>
  <w:num w:numId="20" w16cid:durableId="1979732">
    <w:abstractNumId w:val="14"/>
  </w:num>
  <w:num w:numId="21" w16cid:durableId="386687053">
    <w:abstractNumId w:val="51"/>
  </w:num>
  <w:num w:numId="22" w16cid:durableId="188222636">
    <w:abstractNumId w:val="29"/>
  </w:num>
  <w:num w:numId="23" w16cid:durableId="759369429">
    <w:abstractNumId w:val="53"/>
  </w:num>
  <w:num w:numId="24" w16cid:durableId="457144720">
    <w:abstractNumId w:val="36"/>
  </w:num>
  <w:num w:numId="25" w16cid:durableId="999231222">
    <w:abstractNumId w:val="20"/>
  </w:num>
  <w:num w:numId="26" w16cid:durableId="1769734196">
    <w:abstractNumId w:val="0"/>
  </w:num>
  <w:num w:numId="27" w16cid:durableId="549193757">
    <w:abstractNumId w:val="40"/>
  </w:num>
  <w:num w:numId="28" w16cid:durableId="185759081">
    <w:abstractNumId w:val="6"/>
  </w:num>
  <w:num w:numId="29" w16cid:durableId="1316033611">
    <w:abstractNumId w:val="43"/>
  </w:num>
  <w:num w:numId="30" w16cid:durableId="1097561618">
    <w:abstractNumId w:val="28"/>
  </w:num>
  <w:num w:numId="31" w16cid:durableId="859968969">
    <w:abstractNumId w:val="11"/>
  </w:num>
  <w:num w:numId="32" w16cid:durableId="1237474111">
    <w:abstractNumId w:val="17"/>
  </w:num>
  <w:num w:numId="33" w16cid:durableId="544099812">
    <w:abstractNumId w:val="54"/>
  </w:num>
  <w:num w:numId="34" w16cid:durableId="1515194982">
    <w:abstractNumId w:val="32"/>
  </w:num>
  <w:num w:numId="35" w16cid:durableId="1982491006">
    <w:abstractNumId w:val="52"/>
  </w:num>
  <w:num w:numId="36" w16cid:durableId="2070496171">
    <w:abstractNumId w:val="31"/>
  </w:num>
  <w:num w:numId="37" w16cid:durableId="20325159">
    <w:abstractNumId w:val="30"/>
  </w:num>
  <w:num w:numId="38" w16cid:durableId="534267757">
    <w:abstractNumId w:val="13"/>
  </w:num>
  <w:num w:numId="39" w16cid:durableId="1299800072">
    <w:abstractNumId w:val="48"/>
  </w:num>
  <w:num w:numId="40" w16cid:durableId="1440490684">
    <w:abstractNumId w:val="41"/>
  </w:num>
  <w:num w:numId="41" w16cid:durableId="316498933">
    <w:abstractNumId w:val="1"/>
  </w:num>
  <w:num w:numId="42" w16cid:durableId="800532784">
    <w:abstractNumId w:val="10"/>
  </w:num>
  <w:num w:numId="43" w16cid:durableId="526914810">
    <w:abstractNumId w:val="49"/>
  </w:num>
  <w:num w:numId="44" w16cid:durableId="5403689">
    <w:abstractNumId w:val="5"/>
  </w:num>
  <w:num w:numId="45" w16cid:durableId="707292624">
    <w:abstractNumId w:val="4"/>
  </w:num>
  <w:num w:numId="46" w16cid:durableId="299196134">
    <w:abstractNumId w:val="33"/>
  </w:num>
  <w:num w:numId="47" w16cid:durableId="1520394821">
    <w:abstractNumId w:val="12"/>
  </w:num>
  <w:num w:numId="48" w16cid:durableId="734625002">
    <w:abstractNumId w:val="9"/>
  </w:num>
  <w:num w:numId="49" w16cid:durableId="1732734252">
    <w:abstractNumId w:val="15"/>
  </w:num>
  <w:num w:numId="50" w16cid:durableId="14889450">
    <w:abstractNumId w:val="46"/>
  </w:num>
  <w:num w:numId="51" w16cid:durableId="293633229">
    <w:abstractNumId w:val="45"/>
  </w:num>
  <w:num w:numId="52" w16cid:durableId="410084178">
    <w:abstractNumId w:val="8"/>
  </w:num>
  <w:num w:numId="53" w16cid:durableId="1185443348">
    <w:abstractNumId w:val="7"/>
  </w:num>
  <w:num w:numId="54" w16cid:durableId="575748364">
    <w:abstractNumId w:val="24"/>
  </w:num>
  <w:num w:numId="55" w16cid:durableId="2047094718">
    <w:abstractNumId w:val="55"/>
  </w:num>
  <w:num w:numId="56" w16cid:durableId="1540166299">
    <w:abstractNumId w:val="2"/>
  </w:num>
  <w:num w:numId="57" w16cid:durableId="297418168">
    <w:abstractNumId w:val="26"/>
  </w:num>
  <w:num w:numId="58" w16cid:durableId="1741098053">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1F"/>
    <w:rsid w:val="00000298"/>
    <w:rsid w:val="00000BE3"/>
    <w:rsid w:val="00001304"/>
    <w:rsid w:val="000013AC"/>
    <w:rsid w:val="000014A2"/>
    <w:rsid w:val="00001684"/>
    <w:rsid w:val="00001EA7"/>
    <w:rsid w:val="0000206A"/>
    <w:rsid w:val="000023F9"/>
    <w:rsid w:val="000025BA"/>
    <w:rsid w:val="00002828"/>
    <w:rsid w:val="00002847"/>
    <w:rsid w:val="00002AE4"/>
    <w:rsid w:val="00002CDB"/>
    <w:rsid w:val="00002F4F"/>
    <w:rsid w:val="000035E9"/>
    <w:rsid w:val="000046D6"/>
    <w:rsid w:val="00004B43"/>
    <w:rsid w:val="00004B94"/>
    <w:rsid w:val="0000560A"/>
    <w:rsid w:val="00005DC1"/>
    <w:rsid w:val="000061B9"/>
    <w:rsid w:val="000073B8"/>
    <w:rsid w:val="0000793D"/>
    <w:rsid w:val="000107D2"/>
    <w:rsid w:val="000117B4"/>
    <w:rsid w:val="00012B14"/>
    <w:rsid w:val="00012E33"/>
    <w:rsid w:val="000132A0"/>
    <w:rsid w:val="000141B9"/>
    <w:rsid w:val="00014538"/>
    <w:rsid w:val="00014D8B"/>
    <w:rsid w:val="00014EDF"/>
    <w:rsid w:val="00015D7C"/>
    <w:rsid w:val="00015E7B"/>
    <w:rsid w:val="00015E96"/>
    <w:rsid w:val="0001612A"/>
    <w:rsid w:val="00016412"/>
    <w:rsid w:val="000167FF"/>
    <w:rsid w:val="0001681A"/>
    <w:rsid w:val="000171BC"/>
    <w:rsid w:val="00017B08"/>
    <w:rsid w:val="00020154"/>
    <w:rsid w:val="0002194A"/>
    <w:rsid w:val="00022A61"/>
    <w:rsid w:val="000237CB"/>
    <w:rsid w:val="00024369"/>
    <w:rsid w:val="000247CC"/>
    <w:rsid w:val="0002490A"/>
    <w:rsid w:val="00024FC5"/>
    <w:rsid w:val="000250AA"/>
    <w:rsid w:val="0002510D"/>
    <w:rsid w:val="00025192"/>
    <w:rsid w:val="0002539F"/>
    <w:rsid w:val="00025F10"/>
    <w:rsid w:val="000260A3"/>
    <w:rsid w:val="0002648F"/>
    <w:rsid w:val="0002688B"/>
    <w:rsid w:val="00026E25"/>
    <w:rsid w:val="00027498"/>
    <w:rsid w:val="000278C2"/>
    <w:rsid w:val="00030186"/>
    <w:rsid w:val="0003040E"/>
    <w:rsid w:val="00030C1A"/>
    <w:rsid w:val="00030F6C"/>
    <w:rsid w:val="00032748"/>
    <w:rsid w:val="00032EDB"/>
    <w:rsid w:val="00033121"/>
    <w:rsid w:val="000333A6"/>
    <w:rsid w:val="00033CF3"/>
    <w:rsid w:val="00034021"/>
    <w:rsid w:val="00034387"/>
    <w:rsid w:val="000349F5"/>
    <w:rsid w:val="00034BA2"/>
    <w:rsid w:val="000356D8"/>
    <w:rsid w:val="0003571D"/>
    <w:rsid w:val="00035AAA"/>
    <w:rsid w:val="000363B3"/>
    <w:rsid w:val="000363FD"/>
    <w:rsid w:val="0003657B"/>
    <w:rsid w:val="00037090"/>
    <w:rsid w:val="0003779F"/>
    <w:rsid w:val="00037A64"/>
    <w:rsid w:val="00037F96"/>
    <w:rsid w:val="0004030B"/>
    <w:rsid w:val="00040497"/>
    <w:rsid w:val="00040569"/>
    <w:rsid w:val="00041A06"/>
    <w:rsid w:val="00041C61"/>
    <w:rsid w:val="00041DAD"/>
    <w:rsid w:val="00041F69"/>
    <w:rsid w:val="00042960"/>
    <w:rsid w:val="00043EC5"/>
    <w:rsid w:val="000443BA"/>
    <w:rsid w:val="00044895"/>
    <w:rsid w:val="00044C71"/>
    <w:rsid w:val="00045216"/>
    <w:rsid w:val="00045437"/>
    <w:rsid w:val="000461C4"/>
    <w:rsid w:val="000465BF"/>
    <w:rsid w:val="00046B13"/>
    <w:rsid w:val="00046B8B"/>
    <w:rsid w:val="0004716C"/>
    <w:rsid w:val="00047A68"/>
    <w:rsid w:val="0005001D"/>
    <w:rsid w:val="00051A49"/>
    <w:rsid w:val="00051C3C"/>
    <w:rsid w:val="00053A4F"/>
    <w:rsid w:val="000541B6"/>
    <w:rsid w:val="0005435F"/>
    <w:rsid w:val="00054AFB"/>
    <w:rsid w:val="00054D13"/>
    <w:rsid w:val="00054D94"/>
    <w:rsid w:val="000550CA"/>
    <w:rsid w:val="00055849"/>
    <w:rsid w:val="00055A98"/>
    <w:rsid w:val="00055BBE"/>
    <w:rsid w:val="00056663"/>
    <w:rsid w:val="000572BA"/>
    <w:rsid w:val="00057AAC"/>
    <w:rsid w:val="00057B89"/>
    <w:rsid w:val="00057EFB"/>
    <w:rsid w:val="00060B11"/>
    <w:rsid w:val="00061C7C"/>
    <w:rsid w:val="000624D8"/>
    <w:rsid w:val="00062AC5"/>
    <w:rsid w:val="00062D83"/>
    <w:rsid w:val="0006314C"/>
    <w:rsid w:val="00063D03"/>
    <w:rsid w:val="00063EC2"/>
    <w:rsid w:val="00064255"/>
    <w:rsid w:val="00064684"/>
    <w:rsid w:val="00064B01"/>
    <w:rsid w:val="00065ADE"/>
    <w:rsid w:val="00065BAE"/>
    <w:rsid w:val="00065C33"/>
    <w:rsid w:val="00065D5E"/>
    <w:rsid w:val="00066411"/>
    <w:rsid w:val="000676CA"/>
    <w:rsid w:val="00067D2D"/>
    <w:rsid w:val="00071080"/>
    <w:rsid w:val="00071252"/>
    <w:rsid w:val="00071BED"/>
    <w:rsid w:val="00071E9B"/>
    <w:rsid w:val="00072009"/>
    <w:rsid w:val="000722DA"/>
    <w:rsid w:val="00072885"/>
    <w:rsid w:val="00072E57"/>
    <w:rsid w:val="00073873"/>
    <w:rsid w:val="00073C87"/>
    <w:rsid w:val="00073CC5"/>
    <w:rsid w:val="000771A5"/>
    <w:rsid w:val="000772AF"/>
    <w:rsid w:val="000774A9"/>
    <w:rsid w:val="00077583"/>
    <w:rsid w:val="00077E4D"/>
    <w:rsid w:val="000803EB"/>
    <w:rsid w:val="000808B8"/>
    <w:rsid w:val="00080C78"/>
    <w:rsid w:val="0008129D"/>
    <w:rsid w:val="0008273D"/>
    <w:rsid w:val="00083034"/>
    <w:rsid w:val="00083430"/>
    <w:rsid w:val="00083B02"/>
    <w:rsid w:val="0008446B"/>
    <w:rsid w:val="00084D36"/>
    <w:rsid w:val="00084E50"/>
    <w:rsid w:val="0008504D"/>
    <w:rsid w:val="000858A4"/>
    <w:rsid w:val="00085D50"/>
    <w:rsid w:val="000867A1"/>
    <w:rsid w:val="0008721E"/>
    <w:rsid w:val="00087909"/>
    <w:rsid w:val="00087D1B"/>
    <w:rsid w:val="00087E3C"/>
    <w:rsid w:val="000909BF"/>
    <w:rsid w:val="00090BB9"/>
    <w:rsid w:val="000911CA"/>
    <w:rsid w:val="00091908"/>
    <w:rsid w:val="00091935"/>
    <w:rsid w:val="00091A13"/>
    <w:rsid w:val="00091F26"/>
    <w:rsid w:val="00092178"/>
    <w:rsid w:val="00092A65"/>
    <w:rsid w:val="00092A70"/>
    <w:rsid w:val="00092D24"/>
    <w:rsid w:val="00093763"/>
    <w:rsid w:val="000947D1"/>
    <w:rsid w:val="00094C11"/>
    <w:rsid w:val="0009546D"/>
    <w:rsid w:val="000958F3"/>
    <w:rsid w:val="000959D4"/>
    <w:rsid w:val="00095A61"/>
    <w:rsid w:val="0009601B"/>
    <w:rsid w:val="0009613B"/>
    <w:rsid w:val="000965AB"/>
    <w:rsid w:val="00096AE2"/>
    <w:rsid w:val="00096B4B"/>
    <w:rsid w:val="0009726E"/>
    <w:rsid w:val="00097CAC"/>
    <w:rsid w:val="000A085B"/>
    <w:rsid w:val="000A0F40"/>
    <w:rsid w:val="000A11AB"/>
    <w:rsid w:val="000A136C"/>
    <w:rsid w:val="000A14CF"/>
    <w:rsid w:val="000A1644"/>
    <w:rsid w:val="000A1B08"/>
    <w:rsid w:val="000A1B70"/>
    <w:rsid w:val="000A232D"/>
    <w:rsid w:val="000A2909"/>
    <w:rsid w:val="000A2D90"/>
    <w:rsid w:val="000A317E"/>
    <w:rsid w:val="000A31F3"/>
    <w:rsid w:val="000A32B7"/>
    <w:rsid w:val="000A385A"/>
    <w:rsid w:val="000A419A"/>
    <w:rsid w:val="000A4448"/>
    <w:rsid w:val="000A4F3B"/>
    <w:rsid w:val="000A50F4"/>
    <w:rsid w:val="000A6009"/>
    <w:rsid w:val="000A63CB"/>
    <w:rsid w:val="000A6623"/>
    <w:rsid w:val="000A70C4"/>
    <w:rsid w:val="000A7483"/>
    <w:rsid w:val="000A7CB7"/>
    <w:rsid w:val="000A7F3D"/>
    <w:rsid w:val="000B0588"/>
    <w:rsid w:val="000B07D4"/>
    <w:rsid w:val="000B09F4"/>
    <w:rsid w:val="000B0E21"/>
    <w:rsid w:val="000B100B"/>
    <w:rsid w:val="000B116A"/>
    <w:rsid w:val="000B12E6"/>
    <w:rsid w:val="000B2666"/>
    <w:rsid w:val="000B278F"/>
    <w:rsid w:val="000B2878"/>
    <w:rsid w:val="000B2AD3"/>
    <w:rsid w:val="000B2C7A"/>
    <w:rsid w:val="000B359E"/>
    <w:rsid w:val="000B378B"/>
    <w:rsid w:val="000B3867"/>
    <w:rsid w:val="000B41C8"/>
    <w:rsid w:val="000B481B"/>
    <w:rsid w:val="000B497E"/>
    <w:rsid w:val="000B51C3"/>
    <w:rsid w:val="000B5830"/>
    <w:rsid w:val="000B5872"/>
    <w:rsid w:val="000B5D33"/>
    <w:rsid w:val="000B5F3B"/>
    <w:rsid w:val="000B6BD4"/>
    <w:rsid w:val="000B6C4C"/>
    <w:rsid w:val="000B6CFE"/>
    <w:rsid w:val="000B6EF9"/>
    <w:rsid w:val="000B6F88"/>
    <w:rsid w:val="000B75E7"/>
    <w:rsid w:val="000B7777"/>
    <w:rsid w:val="000B7C10"/>
    <w:rsid w:val="000B7F4D"/>
    <w:rsid w:val="000C1370"/>
    <w:rsid w:val="000C240F"/>
    <w:rsid w:val="000C2589"/>
    <w:rsid w:val="000C2C92"/>
    <w:rsid w:val="000C2CAF"/>
    <w:rsid w:val="000C36A2"/>
    <w:rsid w:val="000C37B1"/>
    <w:rsid w:val="000C3C23"/>
    <w:rsid w:val="000C5838"/>
    <w:rsid w:val="000C60E6"/>
    <w:rsid w:val="000C6785"/>
    <w:rsid w:val="000C7306"/>
    <w:rsid w:val="000D0167"/>
    <w:rsid w:val="000D11B9"/>
    <w:rsid w:val="000D11E1"/>
    <w:rsid w:val="000D13BE"/>
    <w:rsid w:val="000D17F0"/>
    <w:rsid w:val="000D2D95"/>
    <w:rsid w:val="000D2EE8"/>
    <w:rsid w:val="000D35D2"/>
    <w:rsid w:val="000D486B"/>
    <w:rsid w:val="000D488A"/>
    <w:rsid w:val="000D4BDD"/>
    <w:rsid w:val="000D5616"/>
    <w:rsid w:val="000D5BCB"/>
    <w:rsid w:val="000D5DBC"/>
    <w:rsid w:val="000D5E0B"/>
    <w:rsid w:val="000D6731"/>
    <w:rsid w:val="000D67DA"/>
    <w:rsid w:val="000D7520"/>
    <w:rsid w:val="000D78EB"/>
    <w:rsid w:val="000D7920"/>
    <w:rsid w:val="000D7E6B"/>
    <w:rsid w:val="000E03DE"/>
    <w:rsid w:val="000E0521"/>
    <w:rsid w:val="000E22C4"/>
    <w:rsid w:val="000E24C9"/>
    <w:rsid w:val="000E25F6"/>
    <w:rsid w:val="000E3DBE"/>
    <w:rsid w:val="000E4948"/>
    <w:rsid w:val="000E4ACA"/>
    <w:rsid w:val="000E4FF8"/>
    <w:rsid w:val="000E50B5"/>
    <w:rsid w:val="000E5253"/>
    <w:rsid w:val="000E6762"/>
    <w:rsid w:val="000E686F"/>
    <w:rsid w:val="000F0018"/>
    <w:rsid w:val="000F0259"/>
    <w:rsid w:val="000F02E4"/>
    <w:rsid w:val="000F0D9A"/>
    <w:rsid w:val="000F0E66"/>
    <w:rsid w:val="000F0F0F"/>
    <w:rsid w:val="000F1309"/>
    <w:rsid w:val="000F1B8A"/>
    <w:rsid w:val="000F247E"/>
    <w:rsid w:val="000F28AA"/>
    <w:rsid w:val="000F2EE8"/>
    <w:rsid w:val="000F35A1"/>
    <w:rsid w:val="000F3D59"/>
    <w:rsid w:val="000F3EE4"/>
    <w:rsid w:val="000F4816"/>
    <w:rsid w:val="000F4F3D"/>
    <w:rsid w:val="000F6127"/>
    <w:rsid w:val="000F749F"/>
    <w:rsid w:val="000F77DC"/>
    <w:rsid w:val="000F7995"/>
    <w:rsid w:val="000F7A20"/>
    <w:rsid w:val="001005AA"/>
    <w:rsid w:val="0010134F"/>
    <w:rsid w:val="00101680"/>
    <w:rsid w:val="00101F5D"/>
    <w:rsid w:val="001026F2"/>
    <w:rsid w:val="001027FC"/>
    <w:rsid w:val="001030E9"/>
    <w:rsid w:val="001031DE"/>
    <w:rsid w:val="00103379"/>
    <w:rsid w:val="001036AE"/>
    <w:rsid w:val="00103911"/>
    <w:rsid w:val="00103B9C"/>
    <w:rsid w:val="00103D84"/>
    <w:rsid w:val="00103FEE"/>
    <w:rsid w:val="00104353"/>
    <w:rsid w:val="00104B48"/>
    <w:rsid w:val="0010522C"/>
    <w:rsid w:val="00105726"/>
    <w:rsid w:val="00105BD2"/>
    <w:rsid w:val="00106554"/>
    <w:rsid w:val="00106ECB"/>
    <w:rsid w:val="00107627"/>
    <w:rsid w:val="00107721"/>
    <w:rsid w:val="00107A23"/>
    <w:rsid w:val="00110641"/>
    <w:rsid w:val="00111383"/>
    <w:rsid w:val="00111D1B"/>
    <w:rsid w:val="00111D39"/>
    <w:rsid w:val="00111D4A"/>
    <w:rsid w:val="00112013"/>
    <w:rsid w:val="00112637"/>
    <w:rsid w:val="00112AEE"/>
    <w:rsid w:val="00112D60"/>
    <w:rsid w:val="00113B13"/>
    <w:rsid w:val="00114027"/>
    <w:rsid w:val="0011421A"/>
    <w:rsid w:val="00114E27"/>
    <w:rsid w:val="00114F68"/>
    <w:rsid w:val="001162FB"/>
    <w:rsid w:val="001165BB"/>
    <w:rsid w:val="00116B32"/>
    <w:rsid w:val="00116D68"/>
    <w:rsid w:val="0011771B"/>
    <w:rsid w:val="00117D6C"/>
    <w:rsid w:val="00117EE3"/>
    <w:rsid w:val="001202A8"/>
    <w:rsid w:val="00120475"/>
    <w:rsid w:val="0012123B"/>
    <w:rsid w:val="0012266E"/>
    <w:rsid w:val="00122D45"/>
    <w:rsid w:val="00123294"/>
    <w:rsid w:val="00123902"/>
    <w:rsid w:val="00123A2A"/>
    <w:rsid w:val="001240EB"/>
    <w:rsid w:val="0012450F"/>
    <w:rsid w:val="0012479F"/>
    <w:rsid w:val="0012517C"/>
    <w:rsid w:val="0012542D"/>
    <w:rsid w:val="00125943"/>
    <w:rsid w:val="00125A94"/>
    <w:rsid w:val="00125B23"/>
    <w:rsid w:val="0012614E"/>
    <w:rsid w:val="001264E3"/>
    <w:rsid w:val="0012662C"/>
    <w:rsid w:val="001269B1"/>
    <w:rsid w:val="0012704B"/>
    <w:rsid w:val="00127166"/>
    <w:rsid w:val="0012740D"/>
    <w:rsid w:val="001307E2"/>
    <w:rsid w:val="001308A3"/>
    <w:rsid w:val="0013191A"/>
    <w:rsid w:val="00131ED0"/>
    <w:rsid w:val="00132313"/>
    <w:rsid w:val="00132317"/>
    <w:rsid w:val="00132601"/>
    <w:rsid w:val="0013270A"/>
    <w:rsid w:val="00133185"/>
    <w:rsid w:val="001335FB"/>
    <w:rsid w:val="00133A07"/>
    <w:rsid w:val="00133A87"/>
    <w:rsid w:val="00133CE8"/>
    <w:rsid w:val="00134308"/>
    <w:rsid w:val="00134F9A"/>
    <w:rsid w:val="00134FEB"/>
    <w:rsid w:val="0013507D"/>
    <w:rsid w:val="00135A11"/>
    <w:rsid w:val="00135CF3"/>
    <w:rsid w:val="00135D11"/>
    <w:rsid w:val="00135D61"/>
    <w:rsid w:val="00136045"/>
    <w:rsid w:val="001365B9"/>
    <w:rsid w:val="001365C9"/>
    <w:rsid w:val="00136CE1"/>
    <w:rsid w:val="001375BA"/>
    <w:rsid w:val="00137BDA"/>
    <w:rsid w:val="00137D07"/>
    <w:rsid w:val="00137DFF"/>
    <w:rsid w:val="00137E7D"/>
    <w:rsid w:val="00137FEE"/>
    <w:rsid w:val="001408B6"/>
    <w:rsid w:val="00140EFC"/>
    <w:rsid w:val="001418F4"/>
    <w:rsid w:val="00141AB6"/>
    <w:rsid w:val="00141C73"/>
    <w:rsid w:val="00141EBB"/>
    <w:rsid w:val="00141F8B"/>
    <w:rsid w:val="00142C9B"/>
    <w:rsid w:val="00142CE9"/>
    <w:rsid w:val="001434FE"/>
    <w:rsid w:val="00143B67"/>
    <w:rsid w:val="00143C47"/>
    <w:rsid w:val="00143E31"/>
    <w:rsid w:val="00144847"/>
    <w:rsid w:val="00145318"/>
    <w:rsid w:val="001454E9"/>
    <w:rsid w:val="00145B1C"/>
    <w:rsid w:val="00145ECA"/>
    <w:rsid w:val="00145FF4"/>
    <w:rsid w:val="00146876"/>
    <w:rsid w:val="00146AA2"/>
    <w:rsid w:val="00147910"/>
    <w:rsid w:val="00147CF2"/>
    <w:rsid w:val="00147D41"/>
    <w:rsid w:val="0015015E"/>
    <w:rsid w:val="00150CAB"/>
    <w:rsid w:val="001519D9"/>
    <w:rsid w:val="00151F55"/>
    <w:rsid w:val="0015230C"/>
    <w:rsid w:val="0015313C"/>
    <w:rsid w:val="00153436"/>
    <w:rsid w:val="001536A7"/>
    <w:rsid w:val="00153974"/>
    <w:rsid w:val="00153CE3"/>
    <w:rsid w:val="0015423E"/>
    <w:rsid w:val="00154581"/>
    <w:rsid w:val="001556A3"/>
    <w:rsid w:val="00155927"/>
    <w:rsid w:val="00155ABD"/>
    <w:rsid w:val="00155F23"/>
    <w:rsid w:val="001560B0"/>
    <w:rsid w:val="0015664D"/>
    <w:rsid w:val="0015666F"/>
    <w:rsid w:val="00156947"/>
    <w:rsid w:val="00156FF8"/>
    <w:rsid w:val="00157062"/>
    <w:rsid w:val="00157205"/>
    <w:rsid w:val="0015737F"/>
    <w:rsid w:val="00157524"/>
    <w:rsid w:val="0016009C"/>
    <w:rsid w:val="001602FE"/>
    <w:rsid w:val="001603A5"/>
    <w:rsid w:val="00160459"/>
    <w:rsid w:val="001606CC"/>
    <w:rsid w:val="0016133D"/>
    <w:rsid w:val="0016159F"/>
    <w:rsid w:val="00161B4E"/>
    <w:rsid w:val="00161CEF"/>
    <w:rsid w:val="00161E7D"/>
    <w:rsid w:val="00161FFA"/>
    <w:rsid w:val="00162879"/>
    <w:rsid w:val="001628E0"/>
    <w:rsid w:val="00163AB5"/>
    <w:rsid w:val="00163FC7"/>
    <w:rsid w:val="001645D5"/>
    <w:rsid w:val="00164C21"/>
    <w:rsid w:val="00164F08"/>
    <w:rsid w:val="00164F68"/>
    <w:rsid w:val="00165014"/>
    <w:rsid w:val="00165CE5"/>
    <w:rsid w:val="00165F74"/>
    <w:rsid w:val="001665D6"/>
    <w:rsid w:val="001666C5"/>
    <w:rsid w:val="00166F37"/>
    <w:rsid w:val="00166FA7"/>
    <w:rsid w:val="001672FA"/>
    <w:rsid w:val="0016749F"/>
    <w:rsid w:val="0016780A"/>
    <w:rsid w:val="00167CED"/>
    <w:rsid w:val="0017023C"/>
    <w:rsid w:val="0017080D"/>
    <w:rsid w:val="0017087E"/>
    <w:rsid w:val="00171644"/>
    <w:rsid w:val="001716DC"/>
    <w:rsid w:val="00172055"/>
    <w:rsid w:val="0017205F"/>
    <w:rsid w:val="0017320C"/>
    <w:rsid w:val="001733E0"/>
    <w:rsid w:val="0017405A"/>
    <w:rsid w:val="00174736"/>
    <w:rsid w:val="00174A1C"/>
    <w:rsid w:val="0017530C"/>
    <w:rsid w:val="00175EA7"/>
    <w:rsid w:val="00175F46"/>
    <w:rsid w:val="0017628E"/>
    <w:rsid w:val="0017649F"/>
    <w:rsid w:val="001767C7"/>
    <w:rsid w:val="00176D86"/>
    <w:rsid w:val="00176E03"/>
    <w:rsid w:val="00176E2C"/>
    <w:rsid w:val="00177849"/>
    <w:rsid w:val="00177EA1"/>
    <w:rsid w:val="001805A9"/>
    <w:rsid w:val="00180F4B"/>
    <w:rsid w:val="00181193"/>
    <w:rsid w:val="00181231"/>
    <w:rsid w:val="00181E82"/>
    <w:rsid w:val="001831D3"/>
    <w:rsid w:val="001837D8"/>
    <w:rsid w:val="00183C80"/>
    <w:rsid w:val="001840D4"/>
    <w:rsid w:val="00184325"/>
    <w:rsid w:val="00184430"/>
    <w:rsid w:val="001847A9"/>
    <w:rsid w:val="001847FA"/>
    <w:rsid w:val="00184B26"/>
    <w:rsid w:val="00184C26"/>
    <w:rsid w:val="00185121"/>
    <w:rsid w:val="001851A2"/>
    <w:rsid w:val="0018522A"/>
    <w:rsid w:val="00185613"/>
    <w:rsid w:val="00185F9E"/>
    <w:rsid w:val="0018655F"/>
    <w:rsid w:val="00186904"/>
    <w:rsid w:val="00186B79"/>
    <w:rsid w:val="001875E6"/>
    <w:rsid w:val="001877B4"/>
    <w:rsid w:val="00190032"/>
    <w:rsid w:val="0019044A"/>
    <w:rsid w:val="001904DD"/>
    <w:rsid w:val="0019076D"/>
    <w:rsid w:val="00190C89"/>
    <w:rsid w:val="00190F0B"/>
    <w:rsid w:val="00191A80"/>
    <w:rsid w:val="001922D8"/>
    <w:rsid w:val="00192727"/>
    <w:rsid w:val="00193D7E"/>
    <w:rsid w:val="00193E2F"/>
    <w:rsid w:val="001941A0"/>
    <w:rsid w:val="00194C3F"/>
    <w:rsid w:val="00196BE3"/>
    <w:rsid w:val="00197260"/>
    <w:rsid w:val="001A0836"/>
    <w:rsid w:val="001A0F63"/>
    <w:rsid w:val="001A18C7"/>
    <w:rsid w:val="001A196C"/>
    <w:rsid w:val="001A1B96"/>
    <w:rsid w:val="001A1F11"/>
    <w:rsid w:val="001A27A1"/>
    <w:rsid w:val="001A3006"/>
    <w:rsid w:val="001A38D5"/>
    <w:rsid w:val="001A3955"/>
    <w:rsid w:val="001A44EA"/>
    <w:rsid w:val="001A462C"/>
    <w:rsid w:val="001A5483"/>
    <w:rsid w:val="001A57C1"/>
    <w:rsid w:val="001A5BB7"/>
    <w:rsid w:val="001A5CA1"/>
    <w:rsid w:val="001A6265"/>
    <w:rsid w:val="001A642A"/>
    <w:rsid w:val="001A681B"/>
    <w:rsid w:val="001A79CA"/>
    <w:rsid w:val="001B00C6"/>
    <w:rsid w:val="001B0566"/>
    <w:rsid w:val="001B08B4"/>
    <w:rsid w:val="001B098F"/>
    <w:rsid w:val="001B0F2B"/>
    <w:rsid w:val="001B286D"/>
    <w:rsid w:val="001B2D86"/>
    <w:rsid w:val="001B319E"/>
    <w:rsid w:val="001B3219"/>
    <w:rsid w:val="001B3432"/>
    <w:rsid w:val="001B3448"/>
    <w:rsid w:val="001B3A53"/>
    <w:rsid w:val="001B4643"/>
    <w:rsid w:val="001B473B"/>
    <w:rsid w:val="001B4D5B"/>
    <w:rsid w:val="001B6C1F"/>
    <w:rsid w:val="001B71E2"/>
    <w:rsid w:val="001B74CD"/>
    <w:rsid w:val="001B7BA5"/>
    <w:rsid w:val="001B7CBC"/>
    <w:rsid w:val="001C00AF"/>
    <w:rsid w:val="001C02B7"/>
    <w:rsid w:val="001C03C5"/>
    <w:rsid w:val="001C0433"/>
    <w:rsid w:val="001C07D1"/>
    <w:rsid w:val="001C0D9F"/>
    <w:rsid w:val="001C0F66"/>
    <w:rsid w:val="001C1296"/>
    <w:rsid w:val="001C20D7"/>
    <w:rsid w:val="001C22EC"/>
    <w:rsid w:val="001C30DB"/>
    <w:rsid w:val="001C31BB"/>
    <w:rsid w:val="001C3461"/>
    <w:rsid w:val="001C3509"/>
    <w:rsid w:val="001C3FC9"/>
    <w:rsid w:val="001C42F1"/>
    <w:rsid w:val="001C47CF"/>
    <w:rsid w:val="001C4ECF"/>
    <w:rsid w:val="001C4F79"/>
    <w:rsid w:val="001C51C5"/>
    <w:rsid w:val="001C5B25"/>
    <w:rsid w:val="001C5FEE"/>
    <w:rsid w:val="001C7580"/>
    <w:rsid w:val="001C7B24"/>
    <w:rsid w:val="001D0430"/>
    <w:rsid w:val="001D0729"/>
    <w:rsid w:val="001D0E17"/>
    <w:rsid w:val="001D124A"/>
    <w:rsid w:val="001D1BD2"/>
    <w:rsid w:val="001D1E62"/>
    <w:rsid w:val="001D2366"/>
    <w:rsid w:val="001D2696"/>
    <w:rsid w:val="001D26A1"/>
    <w:rsid w:val="001D2E89"/>
    <w:rsid w:val="001D32D4"/>
    <w:rsid w:val="001D34CE"/>
    <w:rsid w:val="001D39EF"/>
    <w:rsid w:val="001D3E59"/>
    <w:rsid w:val="001D4151"/>
    <w:rsid w:val="001D4207"/>
    <w:rsid w:val="001D4818"/>
    <w:rsid w:val="001D4BF0"/>
    <w:rsid w:val="001D5149"/>
    <w:rsid w:val="001D5B23"/>
    <w:rsid w:val="001D60C0"/>
    <w:rsid w:val="001D6248"/>
    <w:rsid w:val="001D65C4"/>
    <w:rsid w:val="001D6658"/>
    <w:rsid w:val="001D66E6"/>
    <w:rsid w:val="001D7280"/>
    <w:rsid w:val="001D7F36"/>
    <w:rsid w:val="001D7FD6"/>
    <w:rsid w:val="001E037B"/>
    <w:rsid w:val="001E0445"/>
    <w:rsid w:val="001E0972"/>
    <w:rsid w:val="001E0D2A"/>
    <w:rsid w:val="001E15B2"/>
    <w:rsid w:val="001E190B"/>
    <w:rsid w:val="001E255D"/>
    <w:rsid w:val="001E2569"/>
    <w:rsid w:val="001E2B23"/>
    <w:rsid w:val="001E2CFF"/>
    <w:rsid w:val="001E2D95"/>
    <w:rsid w:val="001E2DC3"/>
    <w:rsid w:val="001E3437"/>
    <w:rsid w:val="001E35D5"/>
    <w:rsid w:val="001E3EEE"/>
    <w:rsid w:val="001E4D79"/>
    <w:rsid w:val="001E549C"/>
    <w:rsid w:val="001E5871"/>
    <w:rsid w:val="001E5A92"/>
    <w:rsid w:val="001E5BEF"/>
    <w:rsid w:val="001E5D74"/>
    <w:rsid w:val="001E7432"/>
    <w:rsid w:val="001E7CA2"/>
    <w:rsid w:val="001F0838"/>
    <w:rsid w:val="001F0EA4"/>
    <w:rsid w:val="001F10F5"/>
    <w:rsid w:val="001F1429"/>
    <w:rsid w:val="001F2705"/>
    <w:rsid w:val="001F29EC"/>
    <w:rsid w:val="001F2FFE"/>
    <w:rsid w:val="001F3564"/>
    <w:rsid w:val="001F3B10"/>
    <w:rsid w:val="001F3F6B"/>
    <w:rsid w:val="001F45D8"/>
    <w:rsid w:val="001F4669"/>
    <w:rsid w:val="001F4ADD"/>
    <w:rsid w:val="001F4B01"/>
    <w:rsid w:val="001F5131"/>
    <w:rsid w:val="001F59DD"/>
    <w:rsid w:val="001F5E8F"/>
    <w:rsid w:val="001F6251"/>
    <w:rsid w:val="001F65D9"/>
    <w:rsid w:val="001F6C0E"/>
    <w:rsid w:val="001F6EF3"/>
    <w:rsid w:val="001F7018"/>
    <w:rsid w:val="001F7087"/>
    <w:rsid w:val="001F79DC"/>
    <w:rsid w:val="00200604"/>
    <w:rsid w:val="00200756"/>
    <w:rsid w:val="00200983"/>
    <w:rsid w:val="00200C66"/>
    <w:rsid w:val="00200FF7"/>
    <w:rsid w:val="002011E3"/>
    <w:rsid w:val="00201518"/>
    <w:rsid w:val="002032BF"/>
    <w:rsid w:val="00203964"/>
    <w:rsid w:val="00203B1C"/>
    <w:rsid w:val="00203F9E"/>
    <w:rsid w:val="002046C9"/>
    <w:rsid w:val="00204899"/>
    <w:rsid w:val="00204C8D"/>
    <w:rsid w:val="00205111"/>
    <w:rsid w:val="002063A0"/>
    <w:rsid w:val="0020644C"/>
    <w:rsid w:val="00206528"/>
    <w:rsid w:val="00206D44"/>
    <w:rsid w:val="00206E9F"/>
    <w:rsid w:val="00206F96"/>
    <w:rsid w:val="002075D5"/>
    <w:rsid w:val="0020798C"/>
    <w:rsid w:val="00207ACA"/>
    <w:rsid w:val="00207C5F"/>
    <w:rsid w:val="00207C6F"/>
    <w:rsid w:val="00210149"/>
    <w:rsid w:val="00210F0C"/>
    <w:rsid w:val="00211AC4"/>
    <w:rsid w:val="00211BE0"/>
    <w:rsid w:val="00212229"/>
    <w:rsid w:val="0021223B"/>
    <w:rsid w:val="0021242D"/>
    <w:rsid w:val="0021284A"/>
    <w:rsid w:val="00212992"/>
    <w:rsid w:val="00212C6A"/>
    <w:rsid w:val="0021313E"/>
    <w:rsid w:val="00213514"/>
    <w:rsid w:val="002139EF"/>
    <w:rsid w:val="00214E0A"/>
    <w:rsid w:val="00215501"/>
    <w:rsid w:val="00215A9A"/>
    <w:rsid w:val="00215BE7"/>
    <w:rsid w:val="00216D03"/>
    <w:rsid w:val="00216F5E"/>
    <w:rsid w:val="0021739A"/>
    <w:rsid w:val="00220341"/>
    <w:rsid w:val="00220CA3"/>
    <w:rsid w:val="0022123C"/>
    <w:rsid w:val="0022157D"/>
    <w:rsid w:val="00221635"/>
    <w:rsid w:val="00221BF5"/>
    <w:rsid w:val="002222C9"/>
    <w:rsid w:val="00222345"/>
    <w:rsid w:val="002223B6"/>
    <w:rsid w:val="00222709"/>
    <w:rsid w:val="00222DD6"/>
    <w:rsid w:val="00222EA2"/>
    <w:rsid w:val="00223879"/>
    <w:rsid w:val="00225337"/>
    <w:rsid w:val="002254E9"/>
    <w:rsid w:val="0022605F"/>
    <w:rsid w:val="00226074"/>
    <w:rsid w:val="002263EF"/>
    <w:rsid w:val="002264E5"/>
    <w:rsid w:val="00226C87"/>
    <w:rsid w:val="00226F9C"/>
    <w:rsid w:val="00227AED"/>
    <w:rsid w:val="00227CF0"/>
    <w:rsid w:val="00227E3F"/>
    <w:rsid w:val="002308C3"/>
    <w:rsid w:val="00230C19"/>
    <w:rsid w:val="00231120"/>
    <w:rsid w:val="002311B1"/>
    <w:rsid w:val="0023121C"/>
    <w:rsid w:val="002312BC"/>
    <w:rsid w:val="002325C9"/>
    <w:rsid w:val="0023319D"/>
    <w:rsid w:val="00233529"/>
    <w:rsid w:val="00233981"/>
    <w:rsid w:val="00233C82"/>
    <w:rsid w:val="00233CC1"/>
    <w:rsid w:val="00233DD1"/>
    <w:rsid w:val="00234EFD"/>
    <w:rsid w:val="002353EB"/>
    <w:rsid w:val="00235475"/>
    <w:rsid w:val="00235A14"/>
    <w:rsid w:val="00235DA1"/>
    <w:rsid w:val="00235F20"/>
    <w:rsid w:val="00236056"/>
    <w:rsid w:val="00236A36"/>
    <w:rsid w:val="0023708C"/>
    <w:rsid w:val="002370A8"/>
    <w:rsid w:val="00237192"/>
    <w:rsid w:val="00237C01"/>
    <w:rsid w:val="00237C1F"/>
    <w:rsid w:val="00237E2A"/>
    <w:rsid w:val="0024039C"/>
    <w:rsid w:val="002405CD"/>
    <w:rsid w:val="00240F11"/>
    <w:rsid w:val="00241042"/>
    <w:rsid w:val="0024165B"/>
    <w:rsid w:val="0024240B"/>
    <w:rsid w:val="00243D1F"/>
    <w:rsid w:val="00245524"/>
    <w:rsid w:val="002455C0"/>
    <w:rsid w:val="002456D9"/>
    <w:rsid w:val="00245AE1"/>
    <w:rsid w:val="00245C49"/>
    <w:rsid w:val="00245EFB"/>
    <w:rsid w:val="00246636"/>
    <w:rsid w:val="002469F8"/>
    <w:rsid w:val="00246F62"/>
    <w:rsid w:val="002477C6"/>
    <w:rsid w:val="00247AF6"/>
    <w:rsid w:val="00247B6A"/>
    <w:rsid w:val="002509B8"/>
    <w:rsid w:val="00250BE1"/>
    <w:rsid w:val="00251602"/>
    <w:rsid w:val="00251965"/>
    <w:rsid w:val="00251ADB"/>
    <w:rsid w:val="00251FEA"/>
    <w:rsid w:val="0025271C"/>
    <w:rsid w:val="00252991"/>
    <w:rsid w:val="00252B3F"/>
    <w:rsid w:val="00252D15"/>
    <w:rsid w:val="00252E3E"/>
    <w:rsid w:val="002534D0"/>
    <w:rsid w:val="00253C73"/>
    <w:rsid w:val="00254C83"/>
    <w:rsid w:val="002558F5"/>
    <w:rsid w:val="00255D82"/>
    <w:rsid w:val="002567CB"/>
    <w:rsid w:val="00257F1F"/>
    <w:rsid w:val="00257F66"/>
    <w:rsid w:val="002602E1"/>
    <w:rsid w:val="00261BD4"/>
    <w:rsid w:val="002621DF"/>
    <w:rsid w:val="00262406"/>
    <w:rsid w:val="002627EC"/>
    <w:rsid w:val="00262D05"/>
    <w:rsid w:val="00263316"/>
    <w:rsid w:val="00263683"/>
    <w:rsid w:val="00263B28"/>
    <w:rsid w:val="00263E3A"/>
    <w:rsid w:val="00264010"/>
    <w:rsid w:val="00264156"/>
    <w:rsid w:val="0026425E"/>
    <w:rsid w:val="002649BD"/>
    <w:rsid w:val="002649D1"/>
    <w:rsid w:val="00265578"/>
    <w:rsid w:val="002656C2"/>
    <w:rsid w:val="002656F2"/>
    <w:rsid w:val="002659F1"/>
    <w:rsid w:val="002664A9"/>
    <w:rsid w:val="0026695C"/>
    <w:rsid w:val="00266F91"/>
    <w:rsid w:val="00267079"/>
    <w:rsid w:val="002670F3"/>
    <w:rsid w:val="00267169"/>
    <w:rsid w:val="0026733D"/>
    <w:rsid w:val="00267940"/>
    <w:rsid w:val="002703AE"/>
    <w:rsid w:val="00270405"/>
    <w:rsid w:val="002704AE"/>
    <w:rsid w:val="002709F5"/>
    <w:rsid w:val="00270C87"/>
    <w:rsid w:val="00270CF2"/>
    <w:rsid w:val="00270F0B"/>
    <w:rsid w:val="002712E2"/>
    <w:rsid w:val="002716CF"/>
    <w:rsid w:val="00271761"/>
    <w:rsid w:val="00272B2C"/>
    <w:rsid w:val="00273E00"/>
    <w:rsid w:val="0027401D"/>
    <w:rsid w:val="002745BD"/>
    <w:rsid w:val="00275323"/>
    <w:rsid w:val="00275396"/>
    <w:rsid w:val="00275B29"/>
    <w:rsid w:val="00275BE4"/>
    <w:rsid w:val="00275DD4"/>
    <w:rsid w:val="002762D1"/>
    <w:rsid w:val="00276637"/>
    <w:rsid w:val="00276979"/>
    <w:rsid w:val="002775E6"/>
    <w:rsid w:val="00277B3B"/>
    <w:rsid w:val="00277C81"/>
    <w:rsid w:val="00277CE1"/>
    <w:rsid w:val="00280BE2"/>
    <w:rsid w:val="00280DEB"/>
    <w:rsid w:val="00282328"/>
    <w:rsid w:val="00282C9B"/>
    <w:rsid w:val="00282F19"/>
    <w:rsid w:val="00282F7E"/>
    <w:rsid w:val="0028431D"/>
    <w:rsid w:val="00284A6E"/>
    <w:rsid w:val="00284A8E"/>
    <w:rsid w:val="0028509E"/>
    <w:rsid w:val="00285267"/>
    <w:rsid w:val="00285D22"/>
    <w:rsid w:val="00286B01"/>
    <w:rsid w:val="00286DE1"/>
    <w:rsid w:val="00290BAE"/>
    <w:rsid w:val="00290C4B"/>
    <w:rsid w:val="00290C58"/>
    <w:rsid w:val="002911EC"/>
    <w:rsid w:val="00292004"/>
    <w:rsid w:val="002925C7"/>
    <w:rsid w:val="002926AE"/>
    <w:rsid w:val="0029389F"/>
    <w:rsid w:val="00293A58"/>
    <w:rsid w:val="002944C8"/>
    <w:rsid w:val="0029609F"/>
    <w:rsid w:val="002962FE"/>
    <w:rsid w:val="00296720"/>
    <w:rsid w:val="00296D2B"/>
    <w:rsid w:val="0029729B"/>
    <w:rsid w:val="00297353"/>
    <w:rsid w:val="00297B6F"/>
    <w:rsid w:val="00297C00"/>
    <w:rsid w:val="00297F06"/>
    <w:rsid w:val="00297FBF"/>
    <w:rsid w:val="002A0576"/>
    <w:rsid w:val="002A111C"/>
    <w:rsid w:val="002A16DE"/>
    <w:rsid w:val="002A1E51"/>
    <w:rsid w:val="002A1EAF"/>
    <w:rsid w:val="002A1FAB"/>
    <w:rsid w:val="002A2345"/>
    <w:rsid w:val="002A24E4"/>
    <w:rsid w:val="002A2744"/>
    <w:rsid w:val="002A339A"/>
    <w:rsid w:val="002A45A9"/>
    <w:rsid w:val="002A4725"/>
    <w:rsid w:val="002A5331"/>
    <w:rsid w:val="002A568F"/>
    <w:rsid w:val="002A5938"/>
    <w:rsid w:val="002A64F3"/>
    <w:rsid w:val="002A6B8C"/>
    <w:rsid w:val="002A6CD8"/>
    <w:rsid w:val="002A6D48"/>
    <w:rsid w:val="002A7300"/>
    <w:rsid w:val="002B026B"/>
    <w:rsid w:val="002B04E2"/>
    <w:rsid w:val="002B12E1"/>
    <w:rsid w:val="002B1AB9"/>
    <w:rsid w:val="002B2000"/>
    <w:rsid w:val="002B2325"/>
    <w:rsid w:val="002B2523"/>
    <w:rsid w:val="002B2984"/>
    <w:rsid w:val="002B31F6"/>
    <w:rsid w:val="002B3BC9"/>
    <w:rsid w:val="002B3CF7"/>
    <w:rsid w:val="002B40E2"/>
    <w:rsid w:val="002B450D"/>
    <w:rsid w:val="002B48BF"/>
    <w:rsid w:val="002B49AE"/>
    <w:rsid w:val="002B50E5"/>
    <w:rsid w:val="002B5480"/>
    <w:rsid w:val="002B54C1"/>
    <w:rsid w:val="002B556A"/>
    <w:rsid w:val="002B58EA"/>
    <w:rsid w:val="002B5925"/>
    <w:rsid w:val="002B5C1F"/>
    <w:rsid w:val="002B6871"/>
    <w:rsid w:val="002B7047"/>
    <w:rsid w:val="002B7131"/>
    <w:rsid w:val="002B751F"/>
    <w:rsid w:val="002B76DB"/>
    <w:rsid w:val="002B76FC"/>
    <w:rsid w:val="002B7A4F"/>
    <w:rsid w:val="002B7EAD"/>
    <w:rsid w:val="002C01BF"/>
    <w:rsid w:val="002C05AF"/>
    <w:rsid w:val="002C0955"/>
    <w:rsid w:val="002C0A03"/>
    <w:rsid w:val="002C1165"/>
    <w:rsid w:val="002C11E3"/>
    <w:rsid w:val="002C14AF"/>
    <w:rsid w:val="002C29B1"/>
    <w:rsid w:val="002C2DE4"/>
    <w:rsid w:val="002C2E02"/>
    <w:rsid w:val="002C2FD6"/>
    <w:rsid w:val="002C3562"/>
    <w:rsid w:val="002C35E8"/>
    <w:rsid w:val="002C3894"/>
    <w:rsid w:val="002C3E6C"/>
    <w:rsid w:val="002C415B"/>
    <w:rsid w:val="002C4688"/>
    <w:rsid w:val="002C47FB"/>
    <w:rsid w:val="002C542F"/>
    <w:rsid w:val="002C5594"/>
    <w:rsid w:val="002C57DE"/>
    <w:rsid w:val="002C5DFC"/>
    <w:rsid w:val="002C6BB3"/>
    <w:rsid w:val="002C7306"/>
    <w:rsid w:val="002C78FC"/>
    <w:rsid w:val="002D09AF"/>
    <w:rsid w:val="002D0F2E"/>
    <w:rsid w:val="002D130C"/>
    <w:rsid w:val="002D184E"/>
    <w:rsid w:val="002D1DAD"/>
    <w:rsid w:val="002D268B"/>
    <w:rsid w:val="002D2B95"/>
    <w:rsid w:val="002D2D28"/>
    <w:rsid w:val="002D2DA2"/>
    <w:rsid w:val="002D2E9F"/>
    <w:rsid w:val="002D2EB7"/>
    <w:rsid w:val="002D314D"/>
    <w:rsid w:val="002D3585"/>
    <w:rsid w:val="002D3995"/>
    <w:rsid w:val="002D4054"/>
    <w:rsid w:val="002D46F2"/>
    <w:rsid w:val="002D4A0B"/>
    <w:rsid w:val="002D4DEC"/>
    <w:rsid w:val="002D640C"/>
    <w:rsid w:val="002D6822"/>
    <w:rsid w:val="002D739C"/>
    <w:rsid w:val="002D79CE"/>
    <w:rsid w:val="002E0AB9"/>
    <w:rsid w:val="002E1410"/>
    <w:rsid w:val="002E195C"/>
    <w:rsid w:val="002E1AAA"/>
    <w:rsid w:val="002E2142"/>
    <w:rsid w:val="002E2892"/>
    <w:rsid w:val="002E332E"/>
    <w:rsid w:val="002E383C"/>
    <w:rsid w:val="002E3BC7"/>
    <w:rsid w:val="002E3CB6"/>
    <w:rsid w:val="002E3EB2"/>
    <w:rsid w:val="002E489E"/>
    <w:rsid w:val="002E5043"/>
    <w:rsid w:val="002E5FED"/>
    <w:rsid w:val="002E62F2"/>
    <w:rsid w:val="002E645C"/>
    <w:rsid w:val="002E672C"/>
    <w:rsid w:val="002E6CCF"/>
    <w:rsid w:val="002E7112"/>
    <w:rsid w:val="002E7541"/>
    <w:rsid w:val="002E7BB1"/>
    <w:rsid w:val="002E7E9D"/>
    <w:rsid w:val="002E7FAF"/>
    <w:rsid w:val="002F1093"/>
    <w:rsid w:val="002F12B1"/>
    <w:rsid w:val="002F16E6"/>
    <w:rsid w:val="002F2900"/>
    <w:rsid w:val="002F2D18"/>
    <w:rsid w:val="002F3797"/>
    <w:rsid w:val="002F3DBE"/>
    <w:rsid w:val="002F4B68"/>
    <w:rsid w:val="002F567B"/>
    <w:rsid w:val="002F5805"/>
    <w:rsid w:val="002F5CED"/>
    <w:rsid w:val="002F6623"/>
    <w:rsid w:val="002F6718"/>
    <w:rsid w:val="002F690D"/>
    <w:rsid w:val="002F6B09"/>
    <w:rsid w:val="002F706B"/>
    <w:rsid w:val="002F7D09"/>
    <w:rsid w:val="003007CD"/>
    <w:rsid w:val="00300FE2"/>
    <w:rsid w:val="00301435"/>
    <w:rsid w:val="00303157"/>
    <w:rsid w:val="0030337C"/>
    <w:rsid w:val="0030367B"/>
    <w:rsid w:val="00303D7E"/>
    <w:rsid w:val="0030422A"/>
    <w:rsid w:val="00304622"/>
    <w:rsid w:val="003046B0"/>
    <w:rsid w:val="00304964"/>
    <w:rsid w:val="003049C8"/>
    <w:rsid w:val="00304D7B"/>
    <w:rsid w:val="003060AC"/>
    <w:rsid w:val="003062AC"/>
    <w:rsid w:val="003066B4"/>
    <w:rsid w:val="00306CE6"/>
    <w:rsid w:val="00306F63"/>
    <w:rsid w:val="00307B51"/>
    <w:rsid w:val="00307EA1"/>
    <w:rsid w:val="003103E2"/>
    <w:rsid w:val="00310738"/>
    <w:rsid w:val="00311290"/>
    <w:rsid w:val="003112AA"/>
    <w:rsid w:val="0031134C"/>
    <w:rsid w:val="003119F9"/>
    <w:rsid w:val="00311CF1"/>
    <w:rsid w:val="0031205C"/>
    <w:rsid w:val="003124C5"/>
    <w:rsid w:val="00312921"/>
    <w:rsid w:val="00313152"/>
    <w:rsid w:val="00313333"/>
    <w:rsid w:val="0031368E"/>
    <w:rsid w:val="00313F82"/>
    <w:rsid w:val="0031438A"/>
    <w:rsid w:val="003143BF"/>
    <w:rsid w:val="003152BE"/>
    <w:rsid w:val="0031622A"/>
    <w:rsid w:val="0031638E"/>
    <w:rsid w:val="00317069"/>
    <w:rsid w:val="003172C5"/>
    <w:rsid w:val="003173E0"/>
    <w:rsid w:val="00317487"/>
    <w:rsid w:val="003175B5"/>
    <w:rsid w:val="003177E3"/>
    <w:rsid w:val="00320075"/>
    <w:rsid w:val="00320FB7"/>
    <w:rsid w:val="003214AC"/>
    <w:rsid w:val="003214DC"/>
    <w:rsid w:val="00321713"/>
    <w:rsid w:val="0032182E"/>
    <w:rsid w:val="00321E05"/>
    <w:rsid w:val="00321ED2"/>
    <w:rsid w:val="003228FB"/>
    <w:rsid w:val="00322B46"/>
    <w:rsid w:val="003232D9"/>
    <w:rsid w:val="00323338"/>
    <w:rsid w:val="003235FF"/>
    <w:rsid w:val="00323733"/>
    <w:rsid w:val="0032447A"/>
    <w:rsid w:val="003244F9"/>
    <w:rsid w:val="003245F3"/>
    <w:rsid w:val="00324C0D"/>
    <w:rsid w:val="00324DC1"/>
    <w:rsid w:val="00325C96"/>
    <w:rsid w:val="00326490"/>
    <w:rsid w:val="00326754"/>
    <w:rsid w:val="00326B7A"/>
    <w:rsid w:val="00326E07"/>
    <w:rsid w:val="003272EB"/>
    <w:rsid w:val="0032755A"/>
    <w:rsid w:val="00327650"/>
    <w:rsid w:val="00327A79"/>
    <w:rsid w:val="00327C87"/>
    <w:rsid w:val="00327E6C"/>
    <w:rsid w:val="00327F09"/>
    <w:rsid w:val="003306F6"/>
    <w:rsid w:val="003306FF"/>
    <w:rsid w:val="00330D5C"/>
    <w:rsid w:val="00331AB5"/>
    <w:rsid w:val="003320D2"/>
    <w:rsid w:val="0033224F"/>
    <w:rsid w:val="003327DC"/>
    <w:rsid w:val="003329DE"/>
    <w:rsid w:val="00332A93"/>
    <w:rsid w:val="00332EAD"/>
    <w:rsid w:val="0033316D"/>
    <w:rsid w:val="00333CF8"/>
    <w:rsid w:val="003347F5"/>
    <w:rsid w:val="00334B60"/>
    <w:rsid w:val="00334BE7"/>
    <w:rsid w:val="003351C1"/>
    <w:rsid w:val="0033613C"/>
    <w:rsid w:val="0033618E"/>
    <w:rsid w:val="003365DF"/>
    <w:rsid w:val="0033661B"/>
    <w:rsid w:val="0033678A"/>
    <w:rsid w:val="00337382"/>
    <w:rsid w:val="0033780D"/>
    <w:rsid w:val="00337AC5"/>
    <w:rsid w:val="00340195"/>
    <w:rsid w:val="0034032E"/>
    <w:rsid w:val="00340694"/>
    <w:rsid w:val="00341496"/>
    <w:rsid w:val="00341E0B"/>
    <w:rsid w:val="00342115"/>
    <w:rsid w:val="00342215"/>
    <w:rsid w:val="00342802"/>
    <w:rsid w:val="0034284E"/>
    <w:rsid w:val="003428FB"/>
    <w:rsid w:val="00342D59"/>
    <w:rsid w:val="00343CEF"/>
    <w:rsid w:val="00345153"/>
    <w:rsid w:val="003451F2"/>
    <w:rsid w:val="003455D9"/>
    <w:rsid w:val="00345862"/>
    <w:rsid w:val="0034626D"/>
    <w:rsid w:val="003467CE"/>
    <w:rsid w:val="003471A0"/>
    <w:rsid w:val="0034725A"/>
    <w:rsid w:val="00350043"/>
    <w:rsid w:val="00350AF6"/>
    <w:rsid w:val="00350E87"/>
    <w:rsid w:val="00351294"/>
    <w:rsid w:val="00352415"/>
    <w:rsid w:val="003524CD"/>
    <w:rsid w:val="003525B2"/>
    <w:rsid w:val="00352AAD"/>
    <w:rsid w:val="00352ADE"/>
    <w:rsid w:val="00352DF9"/>
    <w:rsid w:val="00353139"/>
    <w:rsid w:val="003533EE"/>
    <w:rsid w:val="00353B51"/>
    <w:rsid w:val="00353CFA"/>
    <w:rsid w:val="00354813"/>
    <w:rsid w:val="00355867"/>
    <w:rsid w:val="003559AA"/>
    <w:rsid w:val="003559CC"/>
    <w:rsid w:val="00355C26"/>
    <w:rsid w:val="00356C1F"/>
    <w:rsid w:val="00356DCA"/>
    <w:rsid w:val="00357253"/>
    <w:rsid w:val="00357289"/>
    <w:rsid w:val="00357B15"/>
    <w:rsid w:val="00357CA5"/>
    <w:rsid w:val="00357E3A"/>
    <w:rsid w:val="00360308"/>
    <w:rsid w:val="00360859"/>
    <w:rsid w:val="00361019"/>
    <w:rsid w:val="00361948"/>
    <w:rsid w:val="00361E0C"/>
    <w:rsid w:val="0036267F"/>
    <w:rsid w:val="003628D6"/>
    <w:rsid w:val="00362D31"/>
    <w:rsid w:val="003630A7"/>
    <w:rsid w:val="0036380A"/>
    <w:rsid w:val="00363AE5"/>
    <w:rsid w:val="0036462F"/>
    <w:rsid w:val="00364BA8"/>
    <w:rsid w:val="00365774"/>
    <w:rsid w:val="0036579B"/>
    <w:rsid w:val="00365880"/>
    <w:rsid w:val="00366165"/>
    <w:rsid w:val="00367072"/>
    <w:rsid w:val="003679FD"/>
    <w:rsid w:val="00367F53"/>
    <w:rsid w:val="003708D2"/>
    <w:rsid w:val="00370C76"/>
    <w:rsid w:val="00370E0F"/>
    <w:rsid w:val="003719B3"/>
    <w:rsid w:val="00371D39"/>
    <w:rsid w:val="00371E90"/>
    <w:rsid w:val="003725D2"/>
    <w:rsid w:val="003726E0"/>
    <w:rsid w:val="00372D96"/>
    <w:rsid w:val="0037306A"/>
    <w:rsid w:val="00373591"/>
    <w:rsid w:val="00373980"/>
    <w:rsid w:val="00373B82"/>
    <w:rsid w:val="00373F55"/>
    <w:rsid w:val="00373FFA"/>
    <w:rsid w:val="003746D1"/>
    <w:rsid w:val="0037494E"/>
    <w:rsid w:val="00374BA4"/>
    <w:rsid w:val="00374F89"/>
    <w:rsid w:val="0037513F"/>
    <w:rsid w:val="0037536F"/>
    <w:rsid w:val="00376B71"/>
    <w:rsid w:val="00376F5B"/>
    <w:rsid w:val="0037792B"/>
    <w:rsid w:val="003808E8"/>
    <w:rsid w:val="0038132E"/>
    <w:rsid w:val="00381335"/>
    <w:rsid w:val="00381D53"/>
    <w:rsid w:val="00381EBA"/>
    <w:rsid w:val="00382223"/>
    <w:rsid w:val="003823CA"/>
    <w:rsid w:val="00382A62"/>
    <w:rsid w:val="00382BBF"/>
    <w:rsid w:val="00382BE5"/>
    <w:rsid w:val="003830EB"/>
    <w:rsid w:val="00383542"/>
    <w:rsid w:val="0038389E"/>
    <w:rsid w:val="00383B09"/>
    <w:rsid w:val="00383BD2"/>
    <w:rsid w:val="0038428A"/>
    <w:rsid w:val="00384633"/>
    <w:rsid w:val="003858D6"/>
    <w:rsid w:val="0038596F"/>
    <w:rsid w:val="003860D4"/>
    <w:rsid w:val="00386382"/>
    <w:rsid w:val="0038644F"/>
    <w:rsid w:val="00386B80"/>
    <w:rsid w:val="00386E65"/>
    <w:rsid w:val="003872D2"/>
    <w:rsid w:val="003879C7"/>
    <w:rsid w:val="00387AD1"/>
    <w:rsid w:val="00387BC4"/>
    <w:rsid w:val="003905EA"/>
    <w:rsid w:val="00390A45"/>
    <w:rsid w:val="00390BB0"/>
    <w:rsid w:val="00390CAE"/>
    <w:rsid w:val="00390FAB"/>
    <w:rsid w:val="00390FBB"/>
    <w:rsid w:val="0039119C"/>
    <w:rsid w:val="0039162A"/>
    <w:rsid w:val="0039214E"/>
    <w:rsid w:val="00392FB4"/>
    <w:rsid w:val="003936F5"/>
    <w:rsid w:val="00393F2B"/>
    <w:rsid w:val="003952FA"/>
    <w:rsid w:val="00395690"/>
    <w:rsid w:val="00396284"/>
    <w:rsid w:val="0039638D"/>
    <w:rsid w:val="00396B1F"/>
    <w:rsid w:val="00397359"/>
    <w:rsid w:val="00397875"/>
    <w:rsid w:val="00397E38"/>
    <w:rsid w:val="003A043D"/>
    <w:rsid w:val="003A1662"/>
    <w:rsid w:val="003A1ABB"/>
    <w:rsid w:val="003A1B02"/>
    <w:rsid w:val="003A1BBF"/>
    <w:rsid w:val="003A256A"/>
    <w:rsid w:val="003A293A"/>
    <w:rsid w:val="003A437C"/>
    <w:rsid w:val="003A471C"/>
    <w:rsid w:val="003A478F"/>
    <w:rsid w:val="003A4AC1"/>
    <w:rsid w:val="003A527D"/>
    <w:rsid w:val="003A53D5"/>
    <w:rsid w:val="003A5680"/>
    <w:rsid w:val="003A5B51"/>
    <w:rsid w:val="003A6978"/>
    <w:rsid w:val="003A6CD6"/>
    <w:rsid w:val="003A6D38"/>
    <w:rsid w:val="003A6F3A"/>
    <w:rsid w:val="003A7B27"/>
    <w:rsid w:val="003B07B5"/>
    <w:rsid w:val="003B0B07"/>
    <w:rsid w:val="003B0B14"/>
    <w:rsid w:val="003B124E"/>
    <w:rsid w:val="003B12A7"/>
    <w:rsid w:val="003B1429"/>
    <w:rsid w:val="003B2229"/>
    <w:rsid w:val="003B2757"/>
    <w:rsid w:val="003B2D1B"/>
    <w:rsid w:val="003B2DFF"/>
    <w:rsid w:val="003B31D4"/>
    <w:rsid w:val="003B3478"/>
    <w:rsid w:val="003B3687"/>
    <w:rsid w:val="003B3B4F"/>
    <w:rsid w:val="003B5885"/>
    <w:rsid w:val="003B595D"/>
    <w:rsid w:val="003B5D4B"/>
    <w:rsid w:val="003B614A"/>
    <w:rsid w:val="003B6FF1"/>
    <w:rsid w:val="003B7284"/>
    <w:rsid w:val="003C04C5"/>
    <w:rsid w:val="003C07B0"/>
    <w:rsid w:val="003C08E9"/>
    <w:rsid w:val="003C0BF6"/>
    <w:rsid w:val="003C0F63"/>
    <w:rsid w:val="003C1331"/>
    <w:rsid w:val="003C16D5"/>
    <w:rsid w:val="003C1CFB"/>
    <w:rsid w:val="003C2AB6"/>
    <w:rsid w:val="003C2F71"/>
    <w:rsid w:val="003C3248"/>
    <w:rsid w:val="003C335F"/>
    <w:rsid w:val="003C34C5"/>
    <w:rsid w:val="003C34D5"/>
    <w:rsid w:val="003C430D"/>
    <w:rsid w:val="003C4F99"/>
    <w:rsid w:val="003C6047"/>
    <w:rsid w:val="003C6DE3"/>
    <w:rsid w:val="003C6F32"/>
    <w:rsid w:val="003C70FB"/>
    <w:rsid w:val="003C7946"/>
    <w:rsid w:val="003C7A5C"/>
    <w:rsid w:val="003D0198"/>
    <w:rsid w:val="003D0226"/>
    <w:rsid w:val="003D0236"/>
    <w:rsid w:val="003D093E"/>
    <w:rsid w:val="003D104C"/>
    <w:rsid w:val="003D1799"/>
    <w:rsid w:val="003D18F8"/>
    <w:rsid w:val="003D1C73"/>
    <w:rsid w:val="003D29C1"/>
    <w:rsid w:val="003D2CC4"/>
    <w:rsid w:val="003D305E"/>
    <w:rsid w:val="003D3749"/>
    <w:rsid w:val="003D3789"/>
    <w:rsid w:val="003D3AB8"/>
    <w:rsid w:val="003D3E7F"/>
    <w:rsid w:val="003D3EE2"/>
    <w:rsid w:val="003D44DE"/>
    <w:rsid w:val="003D472F"/>
    <w:rsid w:val="003D4A17"/>
    <w:rsid w:val="003D4C3F"/>
    <w:rsid w:val="003D4F3D"/>
    <w:rsid w:val="003D4F90"/>
    <w:rsid w:val="003D5DB4"/>
    <w:rsid w:val="003D640B"/>
    <w:rsid w:val="003D6FC6"/>
    <w:rsid w:val="003D75FB"/>
    <w:rsid w:val="003D7855"/>
    <w:rsid w:val="003E00FD"/>
    <w:rsid w:val="003E0B6B"/>
    <w:rsid w:val="003E0E45"/>
    <w:rsid w:val="003E1098"/>
    <w:rsid w:val="003E143B"/>
    <w:rsid w:val="003E144A"/>
    <w:rsid w:val="003E1792"/>
    <w:rsid w:val="003E20CD"/>
    <w:rsid w:val="003E23B1"/>
    <w:rsid w:val="003E25EC"/>
    <w:rsid w:val="003E28E1"/>
    <w:rsid w:val="003E30A2"/>
    <w:rsid w:val="003E3249"/>
    <w:rsid w:val="003E3B87"/>
    <w:rsid w:val="003E3C53"/>
    <w:rsid w:val="003E4059"/>
    <w:rsid w:val="003E476A"/>
    <w:rsid w:val="003E5E45"/>
    <w:rsid w:val="003E60C7"/>
    <w:rsid w:val="003E7007"/>
    <w:rsid w:val="003E7A0F"/>
    <w:rsid w:val="003F0AC0"/>
    <w:rsid w:val="003F0BBE"/>
    <w:rsid w:val="003F0D50"/>
    <w:rsid w:val="003F1479"/>
    <w:rsid w:val="003F15F4"/>
    <w:rsid w:val="003F16AC"/>
    <w:rsid w:val="003F16DD"/>
    <w:rsid w:val="003F1BF1"/>
    <w:rsid w:val="003F1D04"/>
    <w:rsid w:val="003F1FDF"/>
    <w:rsid w:val="003F289A"/>
    <w:rsid w:val="003F30C1"/>
    <w:rsid w:val="003F3191"/>
    <w:rsid w:val="003F383C"/>
    <w:rsid w:val="003F3C58"/>
    <w:rsid w:val="003F3EA7"/>
    <w:rsid w:val="003F3F7F"/>
    <w:rsid w:val="003F40AB"/>
    <w:rsid w:val="003F44AA"/>
    <w:rsid w:val="003F4BCE"/>
    <w:rsid w:val="003F504D"/>
    <w:rsid w:val="003F51D4"/>
    <w:rsid w:val="003F5376"/>
    <w:rsid w:val="003F5736"/>
    <w:rsid w:val="003F5D62"/>
    <w:rsid w:val="003F6D01"/>
    <w:rsid w:val="003F701F"/>
    <w:rsid w:val="003F78FD"/>
    <w:rsid w:val="003F7BD8"/>
    <w:rsid w:val="0040035D"/>
    <w:rsid w:val="004003D5"/>
    <w:rsid w:val="0040084F"/>
    <w:rsid w:val="00400ADF"/>
    <w:rsid w:val="004010D3"/>
    <w:rsid w:val="00401249"/>
    <w:rsid w:val="0040129D"/>
    <w:rsid w:val="0040247F"/>
    <w:rsid w:val="004027AA"/>
    <w:rsid w:val="00402D27"/>
    <w:rsid w:val="00404080"/>
    <w:rsid w:val="00404D07"/>
    <w:rsid w:val="00404FDE"/>
    <w:rsid w:val="004050A6"/>
    <w:rsid w:val="00405B8A"/>
    <w:rsid w:val="00405C76"/>
    <w:rsid w:val="00405CC4"/>
    <w:rsid w:val="00405DDE"/>
    <w:rsid w:val="004065DF"/>
    <w:rsid w:val="00406AB3"/>
    <w:rsid w:val="00407444"/>
    <w:rsid w:val="00407D0E"/>
    <w:rsid w:val="00407F1E"/>
    <w:rsid w:val="00410595"/>
    <w:rsid w:val="004106F3"/>
    <w:rsid w:val="00411083"/>
    <w:rsid w:val="00411C69"/>
    <w:rsid w:val="00411E29"/>
    <w:rsid w:val="00412322"/>
    <w:rsid w:val="00412DBC"/>
    <w:rsid w:val="0041323C"/>
    <w:rsid w:val="0041385C"/>
    <w:rsid w:val="00413CE0"/>
    <w:rsid w:val="00413D10"/>
    <w:rsid w:val="00413ED1"/>
    <w:rsid w:val="00414219"/>
    <w:rsid w:val="004142BC"/>
    <w:rsid w:val="004145ED"/>
    <w:rsid w:val="004153E7"/>
    <w:rsid w:val="0041544B"/>
    <w:rsid w:val="0041566F"/>
    <w:rsid w:val="004157E5"/>
    <w:rsid w:val="00415916"/>
    <w:rsid w:val="00415E87"/>
    <w:rsid w:val="00415F34"/>
    <w:rsid w:val="004162CA"/>
    <w:rsid w:val="00416E25"/>
    <w:rsid w:val="00416F9E"/>
    <w:rsid w:val="00417857"/>
    <w:rsid w:val="00417BA5"/>
    <w:rsid w:val="00417E49"/>
    <w:rsid w:val="00420376"/>
    <w:rsid w:val="00420C73"/>
    <w:rsid w:val="00420F8B"/>
    <w:rsid w:val="00421023"/>
    <w:rsid w:val="004219F3"/>
    <w:rsid w:val="0042203D"/>
    <w:rsid w:val="0042306F"/>
    <w:rsid w:val="0042372A"/>
    <w:rsid w:val="0042380B"/>
    <w:rsid w:val="00423C23"/>
    <w:rsid w:val="00424096"/>
    <w:rsid w:val="00424C78"/>
    <w:rsid w:val="00425268"/>
    <w:rsid w:val="004255EF"/>
    <w:rsid w:val="00425E4E"/>
    <w:rsid w:val="00425EF1"/>
    <w:rsid w:val="00426008"/>
    <w:rsid w:val="0042606E"/>
    <w:rsid w:val="00426087"/>
    <w:rsid w:val="0042638C"/>
    <w:rsid w:val="004263FA"/>
    <w:rsid w:val="0042644E"/>
    <w:rsid w:val="00426678"/>
    <w:rsid w:val="00426930"/>
    <w:rsid w:val="00426DB7"/>
    <w:rsid w:val="00426E7A"/>
    <w:rsid w:val="00427C10"/>
    <w:rsid w:val="00427E01"/>
    <w:rsid w:val="00430215"/>
    <w:rsid w:val="00430449"/>
    <w:rsid w:val="00431679"/>
    <w:rsid w:val="00431712"/>
    <w:rsid w:val="004318E4"/>
    <w:rsid w:val="00431ABC"/>
    <w:rsid w:val="00431E1F"/>
    <w:rsid w:val="00431F47"/>
    <w:rsid w:val="00432025"/>
    <w:rsid w:val="0043222B"/>
    <w:rsid w:val="004324A2"/>
    <w:rsid w:val="00432D2A"/>
    <w:rsid w:val="00433464"/>
    <w:rsid w:val="004335BF"/>
    <w:rsid w:val="004343B4"/>
    <w:rsid w:val="00435E95"/>
    <w:rsid w:val="004364AF"/>
    <w:rsid w:val="00436E6A"/>
    <w:rsid w:val="00437CF5"/>
    <w:rsid w:val="00440CA7"/>
    <w:rsid w:val="00441BEE"/>
    <w:rsid w:val="0044223D"/>
    <w:rsid w:val="00442529"/>
    <w:rsid w:val="0044382B"/>
    <w:rsid w:val="0044479A"/>
    <w:rsid w:val="00444F90"/>
    <w:rsid w:val="0044521D"/>
    <w:rsid w:val="00445B96"/>
    <w:rsid w:val="00445BC5"/>
    <w:rsid w:val="00445C0F"/>
    <w:rsid w:val="00446885"/>
    <w:rsid w:val="00446D7F"/>
    <w:rsid w:val="00447C99"/>
    <w:rsid w:val="0045002B"/>
    <w:rsid w:val="00450241"/>
    <w:rsid w:val="00450459"/>
    <w:rsid w:val="00450B03"/>
    <w:rsid w:val="004515E9"/>
    <w:rsid w:val="0045161F"/>
    <w:rsid w:val="00451AA7"/>
    <w:rsid w:val="00451B35"/>
    <w:rsid w:val="00452B6F"/>
    <w:rsid w:val="004538EC"/>
    <w:rsid w:val="0045419F"/>
    <w:rsid w:val="0045483E"/>
    <w:rsid w:val="00454D9A"/>
    <w:rsid w:val="00454DA4"/>
    <w:rsid w:val="004555C1"/>
    <w:rsid w:val="00455838"/>
    <w:rsid w:val="00455AFF"/>
    <w:rsid w:val="00455DAA"/>
    <w:rsid w:val="0045703A"/>
    <w:rsid w:val="00457249"/>
    <w:rsid w:val="0045749D"/>
    <w:rsid w:val="00457557"/>
    <w:rsid w:val="00457678"/>
    <w:rsid w:val="004577C8"/>
    <w:rsid w:val="004578A3"/>
    <w:rsid w:val="0046159F"/>
    <w:rsid w:val="00461F9B"/>
    <w:rsid w:val="004627C8"/>
    <w:rsid w:val="00463218"/>
    <w:rsid w:val="0046385A"/>
    <w:rsid w:val="00463BEE"/>
    <w:rsid w:val="00464E46"/>
    <w:rsid w:val="004650EE"/>
    <w:rsid w:val="00465149"/>
    <w:rsid w:val="0046596F"/>
    <w:rsid w:val="00465A77"/>
    <w:rsid w:val="00465DA7"/>
    <w:rsid w:val="00466848"/>
    <w:rsid w:val="00466BD5"/>
    <w:rsid w:val="00466CEE"/>
    <w:rsid w:val="0046746E"/>
    <w:rsid w:val="004701D7"/>
    <w:rsid w:val="00470549"/>
    <w:rsid w:val="004708DB"/>
    <w:rsid w:val="00470F76"/>
    <w:rsid w:val="00471A18"/>
    <w:rsid w:val="00471B39"/>
    <w:rsid w:val="00471BA2"/>
    <w:rsid w:val="0047215F"/>
    <w:rsid w:val="004729F3"/>
    <w:rsid w:val="00472A98"/>
    <w:rsid w:val="00472CD6"/>
    <w:rsid w:val="004731A9"/>
    <w:rsid w:val="0047345A"/>
    <w:rsid w:val="004736DA"/>
    <w:rsid w:val="0047394E"/>
    <w:rsid w:val="0047495E"/>
    <w:rsid w:val="00474A60"/>
    <w:rsid w:val="00474D09"/>
    <w:rsid w:val="00476293"/>
    <w:rsid w:val="004768BD"/>
    <w:rsid w:val="004769D0"/>
    <w:rsid w:val="00476CBE"/>
    <w:rsid w:val="00476D46"/>
    <w:rsid w:val="0047700D"/>
    <w:rsid w:val="00477247"/>
    <w:rsid w:val="00477E35"/>
    <w:rsid w:val="00480282"/>
    <w:rsid w:val="004805CC"/>
    <w:rsid w:val="0048068A"/>
    <w:rsid w:val="00480CC8"/>
    <w:rsid w:val="00480EBD"/>
    <w:rsid w:val="004810AB"/>
    <w:rsid w:val="004811CA"/>
    <w:rsid w:val="004811E4"/>
    <w:rsid w:val="0048196A"/>
    <w:rsid w:val="00481A4A"/>
    <w:rsid w:val="00481E9D"/>
    <w:rsid w:val="004833A5"/>
    <w:rsid w:val="004834AE"/>
    <w:rsid w:val="004834FB"/>
    <w:rsid w:val="00483AAD"/>
    <w:rsid w:val="00483B1F"/>
    <w:rsid w:val="0048443F"/>
    <w:rsid w:val="00484760"/>
    <w:rsid w:val="004847D4"/>
    <w:rsid w:val="00485C76"/>
    <w:rsid w:val="00486FBB"/>
    <w:rsid w:val="00487409"/>
    <w:rsid w:val="00487455"/>
    <w:rsid w:val="00487AC4"/>
    <w:rsid w:val="0049095C"/>
    <w:rsid w:val="00490B66"/>
    <w:rsid w:val="00490C2C"/>
    <w:rsid w:val="0049139E"/>
    <w:rsid w:val="00492135"/>
    <w:rsid w:val="004926A5"/>
    <w:rsid w:val="00492DAB"/>
    <w:rsid w:val="00493BA8"/>
    <w:rsid w:val="00493D3E"/>
    <w:rsid w:val="00494455"/>
    <w:rsid w:val="004947E2"/>
    <w:rsid w:val="004949A0"/>
    <w:rsid w:val="0049515A"/>
    <w:rsid w:val="004951AD"/>
    <w:rsid w:val="00495515"/>
    <w:rsid w:val="004956B7"/>
    <w:rsid w:val="004957B9"/>
    <w:rsid w:val="00495B58"/>
    <w:rsid w:val="00495E89"/>
    <w:rsid w:val="0049623F"/>
    <w:rsid w:val="004964F7"/>
    <w:rsid w:val="00496F5E"/>
    <w:rsid w:val="00497023"/>
    <w:rsid w:val="004978D9"/>
    <w:rsid w:val="00497C81"/>
    <w:rsid w:val="004A011C"/>
    <w:rsid w:val="004A05B8"/>
    <w:rsid w:val="004A1329"/>
    <w:rsid w:val="004A14A1"/>
    <w:rsid w:val="004A1793"/>
    <w:rsid w:val="004A1927"/>
    <w:rsid w:val="004A198F"/>
    <w:rsid w:val="004A28E2"/>
    <w:rsid w:val="004A3125"/>
    <w:rsid w:val="004A36B5"/>
    <w:rsid w:val="004A3717"/>
    <w:rsid w:val="004A3CC1"/>
    <w:rsid w:val="004A4025"/>
    <w:rsid w:val="004A4351"/>
    <w:rsid w:val="004A448D"/>
    <w:rsid w:val="004A46F8"/>
    <w:rsid w:val="004A4A69"/>
    <w:rsid w:val="004A55EC"/>
    <w:rsid w:val="004A5BBB"/>
    <w:rsid w:val="004A5D01"/>
    <w:rsid w:val="004A610E"/>
    <w:rsid w:val="004A68B1"/>
    <w:rsid w:val="004A6A44"/>
    <w:rsid w:val="004A755E"/>
    <w:rsid w:val="004A795C"/>
    <w:rsid w:val="004A7F3A"/>
    <w:rsid w:val="004B03E2"/>
    <w:rsid w:val="004B081D"/>
    <w:rsid w:val="004B0C14"/>
    <w:rsid w:val="004B0E8B"/>
    <w:rsid w:val="004B246C"/>
    <w:rsid w:val="004B2BE5"/>
    <w:rsid w:val="004B325A"/>
    <w:rsid w:val="004B3328"/>
    <w:rsid w:val="004B3367"/>
    <w:rsid w:val="004B3439"/>
    <w:rsid w:val="004B4122"/>
    <w:rsid w:val="004B4407"/>
    <w:rsid w:val="004B49C3"/>
    <w:rsid w:val="004B5073"/>
    <w:rsid w:val="004B52FF"/>
    <w:rsid w:val="004B5FB9"/>
    <w:rsid w:val="004B6579"/>
    <w:rsid w:val="004B65E4"/>
    <w:rsid w:val="004B6C35"/>
    <w:rsid w:val="004B6C85"/>
    <w:rsid w:val="004B77EF"/>
    <w:rsid w:val="004B7829"/>
    <w:rsid w:val="004B7988"/>
    <w:rsid w:val="004B7D47"/>
    <w:rsid w:val="004C0273"/>
    <w:rsid w:val="004C02A6"/>
    <w:rsid w:val="004C04FE"/>
    <w:rsid w:val="004C092B"/>
    <w:rsid w:val="004C0BBB"/>
    <w:rsid w:val="004C18D1"/>
    <w:rsid w:val="004C1914"/>
    <w:rsid w:val="004C1F11"/>
    <w:rsid w:val="004C22B1"/>
    <w:rsid w:val="004C234D"/>
    <w:rsid w:val="004C2508"/>
    <w:rsid w:val="004C2915"/>
    <w:rsid w:val="004C2974"/>
    <w:rsid w:val="004C2EEA"/>
    <w:rsid w:val="004C30BD"/>
    <w:rsid w:val="004C3665"/>
    <w:rsid w:val="004C3B16"/>
    <w:rsid w:val="004C40D5"/>
    <w:rsid w:val="004C439F"/>
    <w:rsid w:val="004C4863"/>
    <w:rsid w:val="004C4DC8"/>
    <w:rsid w:val="004C5382"/>
    <w:rsid w:val="004C56B1"/>
    <w:rsid w:val="004C5BBC"/>
    <w:rsid w:val="004C5E86"/>
    <w:rsid w:val="004C6622"/>
    <w:rsid w:val="004C6CA1"/>
    <w:rsid w:val="004C6E51"/>
    <w:rsid w:val="004C70ED"/>
    <w:rsid w:val="004C76EB"/>
    <w:rsid w:val="004D0048"/>
    <w:rsid w:val="004D0213"/>
    <w:rsid w:val="004D02E7"/>
    <w:rsid w:val="004D0391"/>
    <w:rsid w:val="004D18D4"/>
    <w:rsid w:val="004D1B50"/>
    <w:rsid w:val="004D1FCF"/>
    <w:rsid w:val="004D347E"/>
    <w:rsid w:val="004D3BAC"/>
    <w:rsid w:val="004D46A7"/>
    <w:rsid w:val="004D5009"/>
    <w:rsid w:val="004D5206"/>
    <w:rsid w:val="004D53A3"/>
    <w:rsid w:val="004D6087"/>
    <w:rsid w:val="004D6773"/>
    <w:rsid w:val="004D699C"/>
    <w:rsid w:val="004D74B3"/>
    <w:rsid w:val="004D7943"/>
    <w:rsid w:val="004D7C6F"/>
    <w:rsid w:val="004E027C"/>
    <w:rsid w:val="004E03D6"/>
    <w:rsid w:val="004E0665"/>
    <w:rsid w:val="004E0968"/>
    <w:rsid w:val="004E1E85"/>
    <w:rsid w:val="004E2454"/>
    <w:rsid w:val="004E2C41"/>
    <w:rsid w:val="004E2F32"/>
    <w:rsid w:val="004E3056"/>
    <w:rsid w:val="004E30F8"/>
    <w:rsid w:val="004E32CD"/>
    <w:rsid w:val="004E361A"/>
    <w:rsid w:val="004E3CAE"/>
    <w:rsid w:val="004E4724"/>
    <w:rsid w:val="004E4C76"/>
    <w:rsid w:val="004E5095"/>
    <w:rsid w:val="004E663B"/>
    <w:rsid w:val="004E680B"/>
    <w:rsid w:val="004E76C0"/>
    <w:rsid w:val="004E79E4"/>
    <w:rsid w:val="004E7E33"/>
    <w:rsid w:val="004E7FD4"/>
    <w:rsid w:val="004F02AB"/>
    <w:rsid w:val="004F02C7"/>
    <w:rsid w:val="004F0319"/>
    <w:rsid w:val="004F0603"/>
    <w:rsid w:val="004F0972"/>
    <w:rsid w:val="004F0977"/>
    <w:rsid w:val="004F0A45"/>
    <w:rsid w:val="004F0C72"/>
    <w:rsid w:val="004F1C24"/>
    <w:rsid w:val="004F252C"/>
    <w:rsid w:val="004F26E8"/>
    <w:rsid w:val="004F2975"/>
    <w:rsid w:val="004F2A14"/>
    <w:rsid w:val="004F2F20"/>
    <w:rsid w:val="004F3308"/>
    <w:rsid w:val="004F3492"/>
    <w:rsid w:val="004F3A9C"/>
    <w:rsid w:val="004F4360"/>
    <w:rsid w:val="004F5A6B"/>
    <w:rsid w:val="004F613D"/>
    <w:rsid w:val="004F64E8"/>
    <w:rsid w:val="004F6534"/>
    <w:rsid w:val="004F6609"/>
    <w:rsid w:val="004F6A19"/>
    <w:rsid w:val="004F7C25"/>
    <w:rsid w:val="004F7DFF"/>
    <w:rsid w:val="004F7E7D"/>
    <w:rsid w:val="00501070"/>
    <w:rsid w:val="00501176"/>
    <w:rsid w:val="00501B50"/>
    <w:rsid w:val="00502A88"/>
    <w:rsid w:val="00502DBE"/>
    <w:rsid w:val="0050302F"/>
    <w:rsid w:val="00503206"/>
    <w:rsid w:val="00503FB6"/>
    <w:rsid w:val="005041BB"/>
    <w:rsid w:val="00504A6C"/>
    <w:rsid w:val="00504DF1"/>
    <w:rsid w:val="0050500F"/>
    <w:rsid w:val="0050510A"/>
    <w:rsid w:val="00505C54"/>
    <w:rsid w:val="00506808"/>
    <w:rsid w:val="00507027"/>
    <w:rsid w:val="0050759E"/>
    <w:rsid w:val="00510809"/>
    <w:rsid w:val="00511FAB"/>
    <w:rsid w:val="0051229C"/>
    <w:rsid w:val="00512E03"/>
    <w:rsid w:val="005131C7"/>
    <w:rsid w:val="00513C1F"/>
    <w:rsid w:val="00513C64"/>
    <w:rsid w:val="00514750"/>
    <w:rsid w:val="00514950"/>
    <w:rsid w:val="005150E7"/>
    <w:rsid w:val="0051590B"/>
    <w:rsid w:val="00515C66"/>
    <w:rsid w:val="00516263"/>
    <w:rsid w:val="005163F8"/>
    <w:rsid w:val="00516884"/>
    <w:rsid w:val="00516975"/>
    <w:rsid w:val="0051727F"/>
    <w:rsid w:val="0051779D"/>
    <w:rsid w:val="00520225"/>
    <w:rsid w:val="005208C6"/>
    <w:rsid w:val="00520CFC"/>
    <w:rsid w:val="0052128B"/>
    <w:rsid w:val="0052133B"/>
    <w:rsid w:val="00521986"/>
    <w:rsid w:val="00521D39"/>
    <w:rsid w:val="00521EFD"/>
    <w:rsid w:val="00521F9D"/>
    <w:rsid w:val="00522821"/>
    <w:rsid w:val="00522996"/>
    <w:rsid w:val="00522BB3"/>
    <w:rsid w:val="00522CCE"/>
    <w:rsid w:val="00523009"/>
    <w:rsid w:val="005235D4"/>
    <w:rsid w:val="00523876"/>
    <w:rsid w:val="00523D17"/>
    <w:rsid w:val="00524944"/>
    <w:rsid w:val="00524AD7"/>
    <w:rsid w:val="005256D3"/>
    <w:rsid w:val="00525B11"/>
    <w:rsid w:val="00525CBF"/>
    <w:rsid w:val="00526121"/>
    <w:rsid w:val="0052668A"/>
    <w:rsid w:val="0052690E"/>
    <w:rsid w:val="00526CD5"/>
    <w:rsid w:val="00526CEE"/>
    <w:rsid w:val="00526FCC"/>
    <w:rsid w:val="005274C9"/>
    <w:rsid w:val="005278AC"/>
    <w:rsid w:val="005302BE"/>
    <w:rsid w:val="005307DC"/>
    <w:rsid w:val="00530E4B"/>
    <w:rsid w:val="00530F0C"/>
    <w:rsid w:val="0053127A"/>
    <w:rsid w:val="00531C12"/>
    <w:rsid w:val="00531F7A"/>
    <w:rsid w:val="00531F85"/>
    <w:rsid w:val="0053230F"/>
    <w:rsid w:val="00533574"/>
    <w:rsid w:val="005335D9"/>
    <w:rsid w:val="00533E7E"/>
    <w:rsid w:val="00534172"/>
    <w:rsid w:val="005342BF"/>
    <w:rsid w:val="005344A4"/>
    <w:rsid w:val="005344AA"/>
    <w:rsid w:val="0053480F"/>
    <w:rsid w:val="00534E13"/>
    <w:rsid w:val="00535588"/>
    <w:rsid w:val="0053620F"/>
    <w:rsid w:val="005366A7"/>
    <w:rsid w:val="00536722"/>
    <w:rsid w:val="0053692B"/>
    <w:rsid w:val="00536A7A"/>
    <w:rsid w:val="00536E88"/>
    <w:rsid w:val="00536F5F"/>
    <w:rsid w:val="00537330"/>
    <w:rsid w:val="005400C6"/>
    <w:rsid w:val="00540498"/>
    <w:rsid w:val="0054065B"/>
    <w:rsid w:val="00540CAB"/>
    <w:rsid w:val="005414B1"/>
    <w:rsid w:val="005416D4"/>
    <w:rsid w:val="00541EE9"/>
    <w:rsid w:val="005430F9"/>
    <w:rsid w:val="0054401A"/>
    <w:rsid w:val="005447BE"/>
    <w:rsid w:val="005453A4"/>
    <w:rsid w:val="00545629"/>
    <w:rsid w:val="00545977"/>
    <w:rsid w:val="0054669F"/>
    <w:rsid w:val="00546897"/>
    <w:rsid w:val="00547024"/>
    <w:rsid w:val="005478CA"/>
    <w:rsid w:val="00550502"/>
    <w:rsid w:val="00550856"/>
    <w:rsid w:val="00550914"/>
    <w:rsid w:val="00550C89"/>
    <w:rsid w:val="00551129"/>
    <w:rsid w:val="0055163C"/>
    <w:rsid w:val="0055189A"/>
    <w:rsid w:val="00551EF4"/>
    <w:rsid w:val="005520B3"/>
    <w:rsid w:val="005520EB"/>
    <w:rsid w:val="00552C0A"/>
    <w:rsid w:val="00552FBD"/>
    <w:rsid w:val="0055391A"/>
    <w:rsid w:val="005539B0"/>
    <w:rsid w:val="00553B64"/>
    <w:rsid w:val="00553EDC"/>
    <w:rsid w:val="0055416A"/>
    <w:rsid w:val="00554B3C"/>
    <w:rsid w:val="00555564"/>
    <w:rsid w:val="00556083"/>
    <w:rsid w:val="005560CA"/>
    <w:rsid w:val="005561B7"/>
    <w:rsid w:val="00556A21"/>
    <w:rsid w:val="00556DB5"/>
    <w:rsid w:val="005573D4"/>
    <w:rsid w:val="00557872"/>
    <w:rsid w:val="00557B30"/>
    <w:rsid w:val="00557D44"/>
    <w:rsid w:val="005600BB"/>
    <w:rsid w:val="00560135"/>
    <w:rsid w:val="005603E7"/>
    <w:rsid w:val="005608D7"/>
    <w:rsid w:val="00560B00"/>
    <w:rsid w:val="005613E7"/>
    <w:rsid w:val="0056170E"/>
    <w:rsid w:val="0056240E"/>
    <w:rsid w:val="0056254B"/>
    <w:rsid w:val="005629AA"/>
    <w:rsid w:val="00562AFA"/>
    <w:rsid w:val="00562BF7"/>
    <w:rsid w:val="00562C32"/>
    <w:rsid w:val="00562F6F"/>
    <w:rsid w:val="00563654"/>
    <w:rsid w:val="0056369A"/>
    <w:rsid w:val="00563C22"/>
    <w:rsid w:val="0056433C"/>
    <w:rsid w:val="00564C24"/>
    <w:rsid w:val="00564F0D"/>
    <w:rsid w:val="00564F82"/>
    <w:rsid w:val="00565191"/>
    <w:rsid w:val="005652B4"/>
    <w:rsid w:val="005653EA"/>
    <w:rsid w:val="00565548"/>
    <w:rsid w:val="00565BF6"/>
    <w:rsid w:val="0056670B"/>
    <w:rsid w:val="005667B7"/>
    <w:rsid w:val="005669C2"/>
    <w:rsid w:val="005704AB"/>
    <w:rsid w:val="00570B9C"/>
    <w:rsid w:val="00571345"/>
    <w:rsid w:val="00571D44"/>
    <w:rsid w:val="00572037"/>
    <w:rsid w:val="005724F9"/>
    <w:rsid w:val="00572570"/>
    <w:rsid w:val="00572839"/>
    <w:rsid w:val="00572EF5"/>
    <w:rsid w:val="0057328B"/>
    <w:rsid w:val="005735A0"/>
    <w:rsid w:val="005738FD"/>
    <w:rsid w:val="00573FCD"/>
    <w:rsid w:val="00574599"/>
    <w:rsid w:val="00574B3C"/>
    <w:rsid w:val="00574E97"/>
    <w:rsid w:val="005750AE"/>
    <w:rsid w:val="00575C6C"/>
    <w:rsid w:val="00575EA6"/>
    <w:rsid w:val="00576CC2"/>
    <w:rsid w:val="005772C3"/>
    <w:rsid w:val="0058028F"/>
    <w:rsid w:val="00580387"/>
    <w:rsid w:val="005803B5"/>
    <w:rsid w:val="005815CC"/>
    <w:rsid w:val="005832E5"/>
    <w:rsid w:val="00583DCF"/>
    <w:rsid w:val="0058433E"/>
    <w:rsid w:val="00584E8E"/>
    <w:rsid w:val="00585663"/>
    <w:rsid w:val="00586746"/>
    <w:rsid w:val="005868C0"/>
    <w:rsid w:val="00586BD4"/>
    <w:rsid w:val="00586BE1"/>
    <w:rsid w:val="00586D93"/>
    <w:rsid w:val="00587436"/>
    <w:rsid w:val="00587D1B"/>
    <w:rsid w:val="00587FBB"/>
    <w:rsid w:val="005904CD"/>
    <w:rsid w:val="00590500"/>
    <w:rsid w:val="00590CE8"/>
    <w:rsid w:val="00591103"/>
    <w:rsid w:val="00591F6F"/>
    <w:rsid w:val="0059249D"/>
    <w:rsid w:val="005930FE"/>
    <w:rsid w:val="00593240"/>
    <w:rsid w:val="00593BDC"/>
    <w:rsid w:val="00593C4A"/>
    <w:rsid w:val="00594CA9"/>
    <w:rsid w:val="00595331"/>
    <w:rsid w:val="005958CC"/>
    <w:rsid w:val="00595971"/>
    <w:rsid w:val="00595FB0"/>
    <w:rsid w:val="005962EE"/>
    <w:rsid w:val="005964EA"/>
    <w:rsid w:val="0059673F"/>
    <w:rsid w:val="00596C6F"/>
    <w:rsid w:val="0059740D"/>
    <w:rsid w:val="005A069E"/>
    <w:rsid w:val="005A0FF4"/>
    <w:rsid w:val="005A1BC7"/>
    <w:rsid w:val="005A2BDB"/>
    <w:rsid w:val="005A2C1F"/>
    <w:rsid w:val="005A2ED0"/>
    <w:rsid w:val="005A372C"/>
    <w:rsid w:val="005A3925"/>
    <w:rsid w:val="005A3D64"/>
    <w:rsid w:val="005A40F6"/>
    <w:rsid w:val="005A48AA"/>
    <w:rsid w:val="005A4AFA"/>
    <w:rsid w:val="005A4AFB"/>
    <w:rsid w:val="005A55C2"/>
    <w:rsid w:val="005A583C"/>
    <w:rsid w:val="005A5D1A"/>
    <w:rsid w:val="005A6B5E"/>
    <w:rsid w:val="005A74EF"/>
    <w:rsid w:val="005A7C4C"/>
    <w:rsid w:val="005A7CF6"/>
    <w:rsid w:val="005B0095"/>
    <w:rsid w:val="005B013E"/>
    <w:rsid w:val="005B089E"/>
    <w:rsid w:val="005B10F0"/>
    <w:rsid w:val="005B1623"/>
    <w:rsid w:val="005B2169"/>
    <w:rsid w:val="005B2C08"/>
    <w:rsid w:val="005B2D48"/>
    <w:rsid w:val="005B3644"/>
    <w:rsid w:val="005B3667"/>
    <w:rsid w:val="005B3753"/>
    <w:rsid w:val="005B38D1"/>
    <w:rsid w:val="005B3C7C"/>
    <w:rsid w:val="005B3E0B"/>
    <w:rsid w:val="005B4320"/>
    <w:rsid w:val="005B4ADF"/>
    <w:rsid w:val="005B4CFD"/>
    <w:rsid w:val="005B59E0"/>
    <w:rsid w:val="005B62E7"/>
    <w:rsid w:val="005B63D9"/>
    <w:rsid w:val="005B669F"/>
    <w:rsid w:val="005B6890"/>
    <w:rsid w:val="005B6DEE"/>
    <w:rsid w:val="005B7414"/>
    <w:rsid w:val="005C016B"/>
    <w:rsid w:val="005C06F8"/>
    <w:rsid w:val="005C07F9"/>
    <w:rsid w:val="005C0BB3"/>
    <w:rsid w:val="005C0EE4"/>
    <w:rsid w:val="005C0FA5"/>
    <w:rsid w:val="005C117F"/>
    <w:rsid w:val="005C20C2"/>
    <w:rsid w:val="005C20EE"/>
    <w:rsid w:val="005C311C"/>
    <w:rsid w:val="005C34B2"/>
    <w:rsid w:val="005C3E78"/>
    <w:rsid w:val="005C48DF"/>
    <w:rsid w:val="005C4B12"/>
    <w:rsid w:val="005C5327"/>
    <w:rsid w:val="005C539C"/>
    <w:rsid w:val="005C5627"/>
    <w:rsid w:val="005C56BF"/>
    <w:rsid w:val="005C59EE"/>
    <w:rsid w:val="005C5A69"/>
    <w:rsid w:val="005C5B80"/>
    <w:rsid w:val="005C669E"/>
    <w:rsid w:val="005C68F1"/>
    <w:rsid w:val="005C6931"/>
    <w:rsid w:val="005C69B2"/>
    <w:rsid w:val="005C6B40"/>
    <w:rsid w:val="005C6BA1"/>
    <w:rsid w:val="005C6CA6"/>
    <w:rsid w:val="005C7534"/>
    <w:rsid w:val="005C7944"/>
    <w:rsid w:val="005C7B30"/>
    <w:rsid w:val="005C7C25"/>
    <w:rsid w:val="005C7FE3"/>
    <w:rsid w:val="005D0621"/>
    <w:rsid w:val="005D06F5"/>
    <w:rsid w:val="005D07DF"/>
    <w:rsid w:val="005D1FFF"/>
    <w:rsid w:val="005D24F5"/>
    <w:rsid w:val="005D25E5"/>
    <w:rsid w:val="005D267F"/>
    <w:rsid w:val="005D2B4A"/>
    <w:rsid w:val="005D2BAD"/>
    <w:rsid w:val="005D2E23"/>
    <w:rsid w:val="005D3140"/>
    <w:rsid w:val="005D31AB"/>
    <w:rsid w:val="005D34F8"/>
    <w:rsid w:val="005D359B"/>
    <w:rsid w:val="005D3660"/>
    <w:rsid w:val="005D366C"/>
    <w:rsid w:val="005D4604"/>
    <w:rsid w:val="005D4843"/>
    <w:rsid w:val="005D4A18"/>
    <w:rsid w:val="005D4BAB"/>
    <w:rsid w:val="005D5452"/>
    <w:rsid w:val="005D550D"/>
    <w:rsid w:val="005D5AA7"/>
    <w:rsid w:val="005D621F"/>
    <w:rsid w:val="005D7F5F"/>
    <w:rsid w:val="005E03AE"/>
    <w:rsid w:val="005E0487"/>
    <w:rsid w:val="005E0688"/>
    <w:rsid w:val="005E071A"/>
    <w:rsid w:val="005E0838"/>
    <w:rsid w:val="005E137D"/>
    <w:rsid w:val="005E1412"/>
    <w:rsid w:val="005E15EA"/>
    <w:rsid w:val="005E1D28"/>
    <w:rsid w:val="005E1F8A"/>
    <w:rsid w:val="005E29A9"/>
    <w:rsid w:val="005E2A6A"/>
    <w:rsid w:val="005E2CB0"/>
    <w:rsid w:val="005E2E50"/>
    <w:rsid w:val="005E30B4"/>
    <w:rsid w:val="005E30BF"/>
    <w:rsid w:val="005E31A8"/>
    <w:rsid w:val="005E3649"/>
    <w:rsid w:val="005E3655"/>
    <w:rsid w:val="005E3E10"/>
    <w:rsid w:val="005E45F0"/>
    <w:rsid w:val="005E59A8"/>
    <w:rsid w:val="005E6257"/>
    <w:rsid w:val="005E6B00"/>
    <w:rsid w:val="005E705B"/>
    <w:rsid w:val="005E713E"/>
    <w:rsid w:val="005E7AF6"/>
    <w:rsid w:val="005F070A"/>
    <w:rsid w:val="005F0CE8"/>
    <w:rsid w:val="005F0D71"/>
    <w:rsid w:val="005F1B9A"/>
    <w:rsid w:val="005F23B7"/>
    <w:rsid w:val="005F24CF"/>
    <w:rsid w:val="005F2A43"/>
    <w:rsid w:val="005F3694"/>
    <w:rsid w:val="005F3A10"/>
    <w:rsid w:val="005F3AFE"/>
    <w:rsid w:val="005F455E"/>
    <w:rsid w:val="005F6F4C"/>
    <w:rsid w:val="005F6F92"/>
    <w:rsid w:val="005F769E"/>
    <w:rsid w:val="005F7996"/>
    <w:rsid w:val="005F7E02"/>
    <w:rsid w:val="005F7EFF"/>
    <w:rsid w:val="0060001E"/>
    <w:rsid w:val="0060035E"/>
    <w:rsid w:val="00600A26"/>
    <w:rsid w:val="0060206A"/>
    <w:rsid w:val="006034B6"/>
    <w:rsid w:val="00603862"/>
    <w:rsid w:val="00603A00"/>
    <w:rsid w:val="00604417"/>
    <w:rsid w:val="00604954"/>
    <w:rsid w:val="0060535B"/>
    <w:rsid w:val="00605373"/>
    <w:rsid w:val="00605586"/>
    <w:rsid w:val="006058F8"/>
    <w:rsid w:val="00606D49"/>
    <w:rsid w:val="00607367"/>
    <w:rsid w:val="00607B38"/>
    <w:rsid w:val="006104B8"/>
    <w:rsid w:val="006113D7"/>
    <w:rsid w:val="00611647"/>
    <w:rsid w:val="00611680"/>
    <w:rsid w:val="006116F6"/>
    <w:rsid w:val="006118F5"/>
    <w:rsid w:val="00611918"/>
    <w:rsid w:val="00611DA4"/>
    <w:rsid w:val="0061499C"/>
    <w:rsid w:val="00615263"/>
    <w:rsid w:val="0061526B"/>
    <w:rsid w:val="00615281"/>
    <w:rsid w:val="00616050"/>
    <w:rsid w:val="00616928"/>
    <w:rsid w:val="00616A51"/>
    <w:rsid w:val="00616B9D"/>
    <w:rsid w:val="00616FC4"/>
    <w:rsid w:val="00617EC5"/>
    <w:rsid w:val="0062077D"/>
    <w:rsid w:val="00621C6E"/>
    <w:rsid w:val="00621E7A"/>
    <w:rsid w:val="00622AB9"/>
    <w:rsid w:val="00622D98"/>
    <w:rsid w:val="00622FCC"/>
    <w:rsid w:val="006230A4"/>
    <w:rsid w:val="006236D6"/>
    <w:rsid w:val="0062381A"/>
    <w:rsid w:val="006245CF"/>
    <w:rsid w:val="006255C3"/>
    <w:rsid w:val="00625683"/>
    <w:rsid w:val="00625904"/>
    <w:rsid w:val="006260E5"/>
    <w:rsid w:val="00627065"/>
    <w:rsid w:val="006279CD"/>
    <w:rsid w:val="00627D80"/>
    <w:rsid w:val="006301A8"/>
    <w:rsid w:val="00630601"/>
    <w:rsid w:val="006309F0"/>
    <w:rsid w:val="00631088"/>
    <w:rsid w:val="00631468"/>
    <w:rsid w:val="00631A0B"/>
    <w:rsid w:val="00631BA5"/>
    <w:rsid w:val="0063225E"/>
    <w:rsid w:val="00632BE9"/>
    <w:rsid w:val="00633314"/>
    <w:rsid w:val="0063387C"/>
    <w:rsid w:val="0063400F"/>
    <w:rsid w:val="006341B9"/>
    <w:rsid w:val="0063485C"/>
    <w:rsid w:val="00634E6C"/>
    <w:rsid w:val="006353F8"/>
    <w:rsid w:val="00635981"/>
    <w:rsid w:val="00635FC6"/>
    <w:rsid w:val="00635FCE"/>
    <w:rsid w:val="0063657E"/>
    <w:rsid w:val="006368E2"/>
    <w:rsid w:val="00636989"/>
    <w:rsid w:val="00636F00"/>
    <w:rsid w:val="00637460"/>
    <w:rsid w:val="00637DB3"/>
    <w:rsid w:val="0064039E"/>
    <w:rsid w:val="006408CA"/>
    <w:rsid w:val="006413C7"/>
    <w:rsid w:val="00641670"/>
    <w:rsid w:val="0064190C"/>
    <w:rsid w:val="00641BF0"/>
    <w:rsid w:val="006424F8"/>
    <w:rsid w:val="00642731"/>
    <w:rsid w:val="00643AF1"/>
    <w:rsid w:val="0064436A"/>
    <w:rsid w:val="00644401"/>
    <w:rsid w:val="006446C7"/>
    <w:rsid w:val="00644A7E"/>
    <w:rsid w:val="00644D15"/>
    <w:rsid w:val="00644FF1"/>
    <w:rsid w:val="0064517C"/>
    <w:rsid w:val="006452ED"/>
    <w:rsid w:val="00645536"/>
    <w:rsid w:val="00645B9D"/>
    <w:rsid w:val="00645D6D"/>
    <w:rsid w:val="00646879"/>
    <w:rsid w:val="00646D98"/>
    <w:rsid w:val="00647B72"/>
    <w:rsid w:val="0065053E"/>
    <w:rsid w:val="00651332"/>
    <w:rsid w:val="00651363"/>
    <w:rsid w:val="00651BB1"/>
    <w:rsid w:val="00651F2B"/>
    <w:rsid w:val="006521A9"/>
    <w:rsid w:val="00653196"/>
    <w:rsid w:val="00653250"/>
    <w:rsid w:val="00653816"/>
    <w:rsid w:val="006539BA"/>
    <w:rsid w:val="00653CAB"/>
    <w:rsid w:val="006540AD"/>
    <w:rsid w:val="006543D8"/>
    <w:rsid w:val="00654BE5"/>
    <w:rsid w:val="00654CA3"/>
    <w:rsid w:val="00654E63"/>
    <w:rsid w:val="0065525C"/>
    <w:rsid w:val="0065531E"/>
    <w:rsid w:val="00655326"/>
    <w:rsid w:val="006553CC"/>
    <w:rsid w:val="0065543C"/>
    <w:rsid w:val="00655776"/>
    <w:rsid w:val="006559B0"/>
    <w:rsid w:val="006559E9"/>
    <w:rsid w:val="00656027"/>
    <w:rsid w:val="006569A0"/>
    <w:rsid w:val="00656A2C"/>
    <w:rsid w:val="00657105"/>
    <w:rsid w:val="00657138"/>
    <w:rsid w:val="00657ACA"/>
    <w:rsid w:val="0066093C"/>
    <w:rsid w:val="006615ED"/>
    <w:rsid w:val="00661AA5"/>
    <w:rsid w:val="00661D7B"/>
    <w:rsid w:val="00662031"/>
    <w:rsid w:val="006620FD"/>
    <w:rsid w:val="00662225"/>
    <w:rsid w:val="0066261D"/>
    <w:rsid w:val="00662AF3"/>
    <w:rsid w:val="00663107"/>
    <w:rsid w:val="0066343F"/>
    <w:rsid w:val="00663513"/>
    <w:rsid w:val="00663A31"/>
    <w:rsid w:val="0066410B"/>
    <w:rsid w:val="006650BF"/>
    <w:rsid w:val="00665586"/>
    <w:rsid w:val="00665647"/>
    <w:rsid w:val="00665C8A"/>
    <w:rsid w:val="00666006"/>
    <w:rsid w:val="00666F39"/>
    <w:rsid w:val="00667600"/>
    <w:rsid w:val="00667DAF"/>
    <w:rsid w:val="00667FA5"/>
    <w:rsid w:val="006700D6"/>
    <w:rsid w:val="00670599"/>
    <w:rsid w:val="00670CEA"/>
    <w:rsid w:val="00670F40"/>
    <w:rsid w:val="0067127E"/>
    <w:rsid w:val="00671667"/>
    <w:rsid w:val="00671687"/>
    <w:rsid w:val="00671AAA"/>
    <w:rsid w:val="006720AA"/>
    <w:rsid w:val="00672216"/>
    <w:rsid w:val="006723B9"/>
    <w:rsid w:val="006725DD"/>
    <w:rsid w:val="00673B97"/>
    <w:rsid w:val="006745EB"/>
    <w:rsid w:val="00675227"/>
    <w:rsid w:val="006754CB"/>
    <w:rsid w:val="006755A7"/>
    <w:rsid w:val="006755D3"/>
    <w:rsid w:val="0067565A"/>
    <w:rsid w:val="0067585E"/>
    <w:rsid w:val="00675AE9"/>
    <w:rsid w:val="00675C47"/>
    <w:rsid w:val="00675E03"/>
    <w:rsid w:val="006761CC"/>
    <w:rsid w:val="00676840"/>
    <w:rsid w:val="00676BBD"/>
    <w:rsid w:val="00676F36"/>
    <w:rsid w:val="006777FA"/>
    <w:rsid w:val="006779E7"/>
    <w:rsid w:val="00677E13"/>
    <w:rsid w:val="00677F77"/>
    <w:rsid w:val="00680149"/>
    <w:rsid w:val="006808CA"/>
    <w:rsid w:val="00680FC4"/>
    <w:rsid w:val="0068137F"/>
    <w:rsid w:val="0068216B"/>
    <w:rsid w:val="006823A7"/>
    <w:rsid w:val="00682A8A"/>
    <w:rsid w:val="006833A8"/>
    <w:rsid w:val="00683AB9"/>
    <w:rsid w:val="00683AC7"/>
    <w:rsid w:val="00684030"/>
    <w:rsid w:val="00684071"/>
    <w:rsid w:val="006841CD"/>
    <w:rsid w:val="006846C4"/>
    <w:rsid w:val="0068499B"/>
    <w:rsid w:val="00684C09"/>
    <w:rsid w:val="0068531A"/>
    <w:rsid w:val="006855D7"/>
    <w:rsid w:val="006856DF"/>
    <w:rsid w:val="00685B7E"/>
    <w:rsid w:val="00685ECC"/>
    <w:rsid w:val="00685F60"/>
    <w:rsid w:val="00686698"/>
    <w:rsid w:val="00686A53"/>
    <w:rsid w:val="00686F8D"/>
    <w:rsid w:val="00687A53"/>
    <w:rsid w:val="00687C0E"/>
    <w:rsid w:val="00687F6F"/>
    <w:rsid w:val="0069097D"/>
    <w:rsid w:val="00690D3A"/>
    <w:rsid w:val="006912EB"/>
    <w:rsid w:val="006913E8"/>
    <w:rsid w:val="00691553"/>
    <w:rsid w:val="006917E5"/>
    <w:rsid w:val="00691ACD"/>
    <w:rsid w:val="00691FD0"/>
    <w:rsid w:val="006921B2"/>
    <w:rsid w:val="00692C95"/>
    <w:rsid w:val="00692E22"/>
    <w:rsid w:val="00692F87"/>
    <w:rsid w:val="00693175"/>
    <w:rsid w:val="00693AEB"/>
    <w:rsid w:val="006950B0"/>
    <w:rsid w:val="00695733"/>
    <w:rsid w:val="0069645E"/>
    <w:rsid w:val="00696C8D"/>
    <w:rsid w:val="00696DF9"/>
    <w:rsid w:val="00696FEA"/>
    <w:rsid w:val="006970D7"/>
    <w:rsid w:val="006970DE"/>
    <w:rsid w:val="00697C6B"/>
    <w:rsid w:val="00697F06"/>
    <w:rsid w:val="006A02D6"/>
    <w:rsid w:val="006A0846"/>
    <w:rsid w:val="006A08C7"/>
    <w:rsid w:val="006A0C51"/>
    <w:rsid w:val="006A101C"/>
    <w:rsid w:val="006A1210"/>
    <w:rsid w:val="006A23CA"/>
    <w:rsid w:val="006A266F"/>
    <w:rsid w:val="006A2A42"/>
    <w:rsid w:val="006A2F8E"/>
    <w:rsid w:val="006A3487"/>
    <w:rsid w:val="006A4FA5"/>
    <w:rsid w:val="006A518F"/>
    <w:rsid w:val="006A5276"/>
    <w:rsid w:val="006A544A"/>
    <w:rsid w:val="006A5468"/>
    <w:rsid w:val="006A57E5"/>
    <w:rsid w:val="006A5B58"/>
    <w:rsid w:val="006A5EF1"/>
    <w:rsid w:val="006A65BC"/>
    <w:rsid w:val="006A6A0D"/>
    <w:rsid w:val="006A6DAF"/>
    <w:rsid w:val="006A6E3C"/>
    <w:rsid w:val="006A6E80"/>
    <w:rsid w:val="006A71A1"/>
    <w:rsid w:val="006A75D0"/>
    <w:rsid w:val="006A7FA1"/>
    <w:rsid w:val="006B00D2"/>
    <w:rsid w:val="006B03B0"/>
    <w:rsid w:val="006B03EB"/>
    <w:rsid w:val="006B05B9"/>
    <w:rsid w:val="006B0AA0"/>
    <w:rsid w:val="006B0BB6"/>
    <w:rsid w:val="006B0D61"/>
    <w:rsid w:val="006B0E85"/>
    <w:rsid w:val="006B1629"/>
    <w:rsid w:val="006B1954"/>
    <w:rsid w:val="006B1CCA"/>
    <w:rsid w:val="006B2BB2"/>
    <w:rsid w:val="006B3002"/>
    <w:rsid w:val="006B4227"/>
    <w:rsid w:val="006B588D"/>
    <w:rsid w:val="006B5B5E"/>
    <w:rsid w:val="006B6FD9"/>
    <w:rsid w:val="006B7508"/>
    <w:rsid w:val="006B7541"/>
    <w:rsid w:val="006B7783"/>
    <w:rsid w:val="006B7930"/>
    <w:rsid w:val="006B79B0"/>
    <w:rsid w:val="006B7DD0"/>
    <w:rsid w:val="006C0B00"/>
    <w:rsid w:val="006C156B"/>
    <w:rsid w:val="006C18A1"/>
    <w:rsid w:val="006C1922"/>
    <w:rsid w:val="006C1A5B"/>
    <w:rsid w:val="006C1B44"/>
    <w:rsid w:val="006C1D20"/>
    <w:rsid w:val="006C1D61"/>
    <w:rsid w:val="006C2000"/>
    <w:rsid w:val="006C20CE"/>
    <w:rsid w:val="006C2671"/>
    <w:rsid w:val="006C27F6"/>
    <w:rsid w:val="006C2D69"/>
    <w:rsid w:val="006C30EF"/>
    <w:rsid w:val="006C320C"/>
    <w:rsid w:val="006C3269"/>
    <w:rsid w:val="006C36D5"/>
    <w:rsid w:val="006C38C0"/>
    <w:rsid w:val="006C3B48"/>
    <w:rsid w:val="006C3E80"/>
    <w:rsid w:val="006C458C"/>
    <w:rsid w:val="006C48F5"/>
    <w:rsid w:val="006C4E7E"/>
    <w:rsid w:val="006C4F62"/>
    <w:rsid w:val="006C545E"/>
    <w:rsid w:val="006C5B56"/>
    <w:rsid w:val="006C61B0"/>
    <w:rsid w:val="006C65B8"/>
    <w:rsid w:val="006C6B52"/>
    <w:rsid w:val="006C7244"/>
    <w:rsid w:val="006C7479"/>
    <w:rsid w:val="006C7D49"/>
    <w:rsid w:val="006D09F3"/>
    <w:rsid w:val="006D0BA5"/>
    <w:rsid w:val="006D0C37"/>
    <w:rsid w:val="006D0DA4"/>
    <w:rsid w:val="006D108C"/>
    <w:rsid w:val="006D1109"/>
    <w:rsid w:val="006D166D"/>
    <w:rsid w:val="006D1674"/>
    <w:rsid w:val="006D243A"/>
    <w:rsid w:val="006D331C"/>
    <w:rsid w:val="006D37E9"/>
    <w:rsid w:val="006D38B1"/>
    <w:rsid w:val="006D38BE"/>
    <w:rsid w:val="006D459A"/>
    <w:rsid w:val="006D48F2"/>
    <w:rsid w:val="006D4DC3"/>
    <w:rsid w:val="006D4F95"/>
    <w:rsid w:val="006D5040"/>
    <w:rsid w:val="006D68D9"/>
    <w:rsid w:val="006D702C"/>
    <w:rsid w:val="006E05C5"/>
    <w:rsid w:val="006E12E9"/>
    <w:rsid w:val="006E182C"/>
    <w:rsid w:val="006E212A"/>
    <w:rsid w:val="006E2CB0"/>
    <w:rsid w:val="006E2F08"/>
    <w:rsid w:val="006E3AC3"/>
    <w:rsid w:val="006E4309"/>
    <w:rsid w:val="006E47A0"/>
    <w:rsid w:val="006E4D65"/>
    <w:rsid w:val="006E53DD"/>
    <w:rsid w:val="006E53E5"/>
    <w:rsid w:val="006E59B6"/>
    <w:rsid w:val="006E5ACC"/>
    <w:rsid w:val="006E6306"/>
    <w:rsid w:val="006E6512"/>
    <w:rsid w:val="006E69A9"/>
    <w:rsid w:val="006E759D"/>
    <w:rsid w:val="006E7692"/>
    <w:rsid w:val="006E7E2F"/>
    <w:rsid w:val="006E7FD6"/>
    <w:rsid w:val="006F0256"/>
    <w:rsid w:val="006F02E8"/>
    <w:rsid w:val="006F0C2C"/>
    <w:rsid w:val="006F0D97"/>
    <w:rsid w:val="006F1141"/>
    <w:rsid w:val="006F130B"/>
    <w:rsid w:val="006F1DF3"/>
    <w:rsid w:val="006F1E62"/>
    <w:rsid w:val="006F1E64"/>
    <w:rsid w:val="006F2DC4"/>
    <w:rsid w:val="006F2E6C"/>
    <w:rsid w:val="006F2E73"/>
    <w:rsid w:val="006F2FBD"/>
    <w:rsid w:val="006F3373"/>
    <w:rsid w:val="006F3B7D"/>
    <w:rsid w:val="006F3CF5"/>
    <w:rsid w:val="006F3E6B"/>
    <w:rsid w:val="006F43D1"/>
    <w:rsid w:val="006F4B0D"/>
    <w:rsid w:val="006F4B54"/>
    <w:rsid w:val="006F559B"/>
    <w:rsid w:val="006F5915"/>
    <w:rsid w:val="006F5F86"/>
    <w:rsid w:val="006F6168"/>
    <w:rsid w:val="006F7602"/>
    <w:rsid w:val="006F7C1B"/>
    <w:rsid w:val="006F7C8F"/>
    <w:rsid w:val="006F7D4A"/>
    <w:rsid w:val="007002AE"/>
    <w:rsid w:val="00700E06"/>
    <w:rsid w:val="00700E85"/>
    <w:rsid w:val="0070161E"/>
    <w:rsid w:val="00701832"/>
    <w:rsid w:val="00701C45"/>
    <w:rsid w:val="00702DEA"/>
    <w:rsid w:val="00703C97"/>
    <w:rsid w:val="00703D74"/>
    <w:rsid w:val="00703EAF"/>
    <w:rsid w:val="007045D3"/>
    <w:rsid w:val="00704AB2"/>
    <w:rsid w:val="00705621"/>
    <w:rsid w:val="0070563D"/>
    <w:rsid w:val="00705DC1"/>
    <w:rsid w:val="0070611D"/>
    <w:rsid w:val="00706243"/>
    <w:rsid w:val="00706FBB"/>
    <w:rsid w:val="00707CA6"/>
    <w:rsid w:val="00707CB5"/>
    <w:rsid w:val="00707DBB"/>
    <w:rsid w:val="00707F7C"/>
    <w:rsid w:val="0071020A"/>
    <w:rsid w:val="007118DB"/>
    <w:rsid w:val="00712AEA"/>
    <w:rsid w:val="00712BD0"/>
    <w:rsid w:val="00712EDD"/>
    <w:rsid w:val="00712F61"/>
    <w:rsid w:val="0071307F"/>
    <w:rsid w:val="007140F9"/>
    <w:rsid w:val="00714189"/>
    <w:rsid w:val="007141E4"/>
    <w:rsid w:val="00715111"/>
    <w:rsid w:val="00715148"/>
    <w:rsid w:val="007153A8"/>
    <w:rsid w:val="00715562"/>
    <w:rsid w:val="00715855"/>
    <w:rsid w:val="0071612A"/>
    <w:rsid w:val="0071620C"/>
    <w:rsid w:val="00716697"/>
    <w:rsid w:val="007166B7"/>
    <w:rsid w:val="00716B3B"/>
    <w:rsid w:val="00716D7D"/>
    <w:rsid w:val="0071721C"/>
    <w:rsid w:val="00717ED5"/>
    <w:rsid w:val="00720F5D"/>
    <w:rsid w:val="007211AF"/>
    <w:rsid w:val="007220A1"/>
    <w:rsid w:val="0072266C"/>
    <w:rsid w:val="0072267C"/>
    <w:rsid w:val="007234AC"/>
    <w:rsid w:val="00723699"/>
    <w:rsid w:val="00723869"/>
    <w:rsid w:val="00723A1E"/>
    <w:rsid w:val="00723F8D"/>
    <w:rsid w:val="00724755"/>
    <w:rsid w:val="00724AE5"/>
    <w:rsid w:val="0072698A"/>
    <w:rsid w:val="00726A59"/>
    <w:rsid w:val="007277E8"/>
    <w:rsid w:val="007278A5"/>
    <w:rsid w:val="007301D1"/>
    <w:rsid w:val="007303C6"/>
    <w:rsid w:val="007304D3"/>
    <w:rsid w:val="00730B22"/>
    <w:rsid w:val="00731059"/>
    <w:rsid w:val="007314E2"/>
    <w:rsid w:val="0073263A"/>
    <w:rsid w:val="007326B6"/>
    <w:rsid w:val="007327CD"/>
    <w:rsid w:val="00732D72"/>
    <w:rsid w:val="00734052"/>
    <w:rsid w:val="00734088"/>
    <w:rsid w:val="007345F5"/>
    <w:rsid w:val="00734D67"/>
    <w:rsid w:val="007355F9"/>
    <w:rsid w:val="00735F67"/>
    <w:rsid w:val="00736561"/>
    <w:rsid w:val="00736655"/>
    <w:rsid w:val="00737017"/>
    <w:rsid w:val="007376B1"/>
    <w:rsid w:val="00737D1D"/>
    <w:rsid w:val="00737D97"/>
    <w:rsid w:val="00737DF7"/>
    <w:rsid w:val="00740347"/>
    <w:rsid w:val="0074062F"/>
    <w:rsid w:val="00740CA3"/>
    <w:rsid w:val="00741441"/>
    <w:rsid w:val="007415F4"/>
    <w:rsid w:val="00741CEA"/>
    <w:rsid w:val="00741E0E"/>
    <w:rsid w:val="007422AA"/>
    <w:rsid w:val="00742978"/>
    <w:rsid w:val="00742E04"/>
    <w:rsid w:val="007430A8"/>
    <w:rsid w:val="00743148"/>
    <w:rsid w:val="007439C7"/>
    <w:rsid w:val="00743EE0"/>
    <w:rsid w:val="0074448D"/>
    <w:rsid w:val="0074460A"/>
    <w:rsid w:val="00744A22"/>
    <w:rsid w:val="00744C7C"/>
    <w:rsid w:val="00744CEB"/>
    <w:rsid w:val="00745552"/>
    <w:rsid w:val="0074573C"/>
    <w:rsid w:val="00745808"/>
    <w:rsid w:val="00747013"/>
    <w:rsid w:val="0074708A"/>
    <w:rsid w:val="0074782F"/>
    <w:rsid w:val="0074788C"/>
    <w:rsid w:val="00747BFA"/>
    <w:rsid w:val="00747C91"/>
    <w:rsid w:val="00747F0A"/>
    <w:rsid w:val="007500D1"/>
    <w:rsid w:val="0075023D"/>
    <w:rsid w:val="00750281"/>
    <w:rsid w:val="00750298"/>
    <w:rsid w:val="00750952"/>
    <w:rsid w:val="00751044"/>
    <w:rsid w:val="0075131D"/>
    <w:rsid w:val="00751451"/>
    <w:rsid w:val="007519DF"/>
    <w:rsid w:val="00751C26"/>
    <w:rsid w:val="00753627"/>
    <w:rsid w:val="007538EA"/>
    <w:rsid w:val="00753E26"/>
    <w:rsid w:val="00753EB0"/>
    <w:rsid w:val="007541E5"/>
    <w:rsid w:val="00755370"/>
    <w:rsid w:val="00755631"/>
    <w:rsid w:val="00755CF7"/>
    <w:rsid w:val="00756462"/>
    <w:rsid w:val="007605E6"/>
    <w:rsid w:val="00761330"/>
    <w:rsid w:val="007614AF"/>
    <w:rsid w:val="00761765"/>
    <w:rsid w:val="007619AA"/>
    <w:rsid w:val="00761B29"/>
    <w:rsid w:val="0076206A"/>
    <w:rsid w:val="00762262"/>
    <w:rsid w:val="0076273F"/>
    <w:rsid w:val="007629F1"/>
    <w:rsid w:val="007634B8"/>
    <w:rsid w:val="007644E1"/>
    <w:rsid w:val="00765004"/>
    <w:rsid w:val="00765126"/>
    <w:rsid w:val="00767761"/>
    <w:rsid w:val="0076788E"/>
    <w:rsid w:val="00767EF1"/>
    <w:rsid w:val="007707F0"/>
    <w:rsid w:val="0077125B"/>
    <w:rsid w:val="007712A4"/>
    <w:rsid w:val="007721DB"/>
    <w:rsid w:val="00772AB4"/>
    <w:rsid w:val="00772B26"/>
    <w:rsid w:val="007731A3"/>
    <w:rsid w:val="007733BB"/>
    <w:rsid w:val="00773F9F"/>
    <w:rsid w:val="00774113"/>
    <w:rsid w:val="00774B35"/>
    <w:rsid w:val="00776BB8"/>
    <w:rsid w:val="0077725C"/>
    <w:rsid w:val="007775D8"/>
    <w:rsid w:val="00777B77"/>
    <w:rsid w:val="0078059F"/>
    <w:rsid w:val="00780676"/>
    <w:rsid w:val="0078068B"/>
    <w:rsid w:val="00780995"/>
    <w:rsid w:val="00780A5D"/>
    <w:rsid w:val="0078133B"/>
    <w:rsid w:val="00781FAA"/>
    <w:rsid w:val="00782219"/>
    <w:rsid w:val="00782754"/>
    <w:rsid w:val="00782950"/>
    <w:rsid w:val="007836FA"/>
    <w:rsid w:val="00783C61"/>
    <w:rsid w:val="007842F1"/>
    <w:rsid w:val="00784359"/>
    <w:rsid w:val="0078483B"/>
    <w:rsid w:val="00785879"/>
    <w:rsid w:val="0078591E"/>
    <w:rsid w:val="00786C00"/>
    <w:rsid w:val="0078795B"/>
    <w:rsid w:val="00787A7B"/>
    <w:rsid w:val="00790193"/>
    <w:rsid w:val="00790D39"/>
    <w:rsid w:val="00790FF6"/>
    <w:rsid w:val="007915F9"/>
    <w:rsid w:val="00791887"/>
    <w:rsid w:val="00791B89"/>
    <w:rsid w:val="00791C93"/>
    <w:rsid w:val="00792185"/>
    <w:rsid w:val="007924D3"/>
    <w:rsid w:val="00792C10"/>
    <w:rsid w:val="0079330A"/>
    <w:rsid w:val="00793382"/>
    <w:rsid w:val="0079342D"/>
    <w:rsid w:val="00793E88"/>
    <w:rsid w:val="007943E2"/>
    <w:rsid w:val="00795158"/>
    <w:rsid w:val="007955DC"/>
    <w:rsid w:val="0079582F"/>
    <w:rsid w:val="007963BD"/>
    <w:rsid w:val="00797000"/>
    <w:rsid w:val="007977BE"/>
    <w:rsid w:val="00797887"/>
    <w:rsid w:val="00797DD0"/>
    <w:rsid w:val="007A07BC"/>
    <w:rsid w:val="007A0807"/>
    <w:rsid w:val="007A1440"/>
    <w:rsid w:val="007A1D2C"/>
    <w:rsid w:val="007A1DD9"/>
    <w:rsid w:val="007A265C"/>
    <w:rsid w:val="007A376E"/>
    <w:rsid w:val="007A4BBE"/>
    <w:rsid w:val="007A6367"/>
    <w:rsid w:val="007A672D"/>
    <w:rsid w:val="007A6EB9"/>
    <w:rsid w:val="007A7444"/>
    <w:rsid w:val="007A7ADA"/>
    <w:rsid w:val="007B0845"/>
    <w:rsid w:val="007B09AE"/>
    <w:rsid w:val="007B0DD5"/>
    <w:rsid w:val="007B0F3A"/>
    <w:rsid w:val="007B159B"/>
    <w:rsid w:val="007B1AAC"/>
    <w:rsid w:val="007B1F02"/>
    <w:rsid w:val="007B2A5E"/>
    <w:rsid w:val="007B309A"/>
    <w:rsid w:val="007B31B4"/>
    <w:rsid w:val="007B3671"/>
    <w:rsid w:val="007B37FE"/>
    <w:rsid w:val="007B3B5A"/>
    <w:rsid w:val="007B3FBA"/>
    <w:rsid w:val="007B512F"/>
    <w:rsid w:val="007B51A8"/>
    <w:rsid w:val="007B57F5"/>
    <w:rsid w:val="007B58A3"/>
    <w:rsid w:val="007B5D0D"/>
    <w:rsid w:val="007B5FC3"/>
    <w:rsid w:val="007B638D"/>
    <w:rsid w:val="007B639E"/>
    <w:rsid w:val="007B66D0"/>
    <w:rsid w:val="007B6956"/>
    <w:rsid w:val="007B7169"/>
    <w:rsid w:val="007B76B6"/>
    <w:rsid w:val="007B776F"/>
    <w:rsid w:val="007B7A8E"/>
    <w:rsid w:val="007B7D37"/>
    <w:rsid w:val="007B7F4F"/>
    <w:rsid w:val="007C03C7"/>
    <w:rsid w:val="007C05BE"/>
    <w:rsid w:val="007C14CA"/>
    <w:rsid w:val="007C15BE"/>
    <w:rsid w:val="007C1B37"/>
    <w:rsid w:val="007C238B"/>
    <w:rsid w:val="007C2650"/>
    <w:rsid w:val="007C26DB"/>
    <w:rsid w:val="007C2D2B"/>
    <w:rsid w:val="007C34F7"/>
    <w:rsid w:val="007C393A"/>
    <w:rsid w:val="007C4A8D"/>
    <w:rsid w:val="007C4EAD"/>
    <w:rsid w:val="007C4EC6"/>
    <w:rsid w:val="007C5062"/>
    <w:rsid w:val="007C53AE"/>
    <w:rsid w:val="007C560C"/>
    <w:rsid w:val="007C6174"/>
    <w:rsid w:val="007C65FC"/>
    <w:rsid w:val="007C6D62"/>
    <w:rsid w:val="007C6D70"/>
    <w:rsid w:val="007C71B8"/>
    <w:rsid w:val="007C74C0"/>
    <w:rsid w:val="007C7C97"/>
    <w:rsid w:val="007D0CAA"/>
    <w:rsid w:val="007D188F"/>
    <w:rsid w:val="007D2B55"/>
    <w:rsid w:val="007D37D4"/>
    <w:rsid w:val="007D3C5C"/>
    <w:rsid w:val="007D3F4B"/>
    <w:rsid w:val="007D50FC"/>
    <w:rsid w:val="007D5AAB"/>
    <w:rsid w:val="007D60D9"/>
    <w:rsid w:val="007D6B51"/>
    <w:rsid w:val="007D6C19"/>
    <w:rsid w:val="007D73E9"/>
    <w:rsid w:val="007D7445"/>
    <w:rsid w:val="007E0597"/>
    <w:rsid w:val="007E0972"/>
    <w:rsid w:val="007E0D22"/>
    <w:rsid w:val="007E1492"/>
    <w:rsid w:val="007E1663"/>
    <w:rsid w:val="007E173B"/>
    <w:rsid w:val="007E179B"/>
    <w:rsid w:val="007E1F16"/>
    <w:rsid w:val="007E2022"/>
    <w:rsid w:val="007E2697"/>
    <w:rsid w:val="007E26F6"/>
    <w:rsid w:val="007E298E"/>
    <w:rsid w:val="007E2A35"/>
    <w:rsid w:val="007E2AF6"/>
    <w:rsid w:val="007E2D63"/>
    <w:rsid w:val="007E4291"/>
    <w:rsid w:val="007E44E2"/>
    <w:rsid w:val="007E52A2"/>
    <w:rsid w:val="007E5B1C"/>
    <w:rsid w:val="007E5CFD"/>
    <w:rsid w:val="007E5EAD"/>
    <w:rsid w:val="007E67C9"/>
    <w:rsid w:val="007E6B5A"/>
    <w:rsid w:val="007E6C97"/>
    <w:rsid w:val="007E7CB0"/>
    <w:rsid w:val="007F00D2"/>
    <w:rsid w:val="007F03D2"/>
    <w:rsid w:val="007F0BA4"/>
    <w:rsid w:val="007F13B5"/>
    <w:rsid w:val="007F1991"/>
    <w:rsid w:val="007F26B5"/>
    <w:rsid w:val="007F2C0B"/>
    <w:rsid w:val="007F2DF7"/>
    <w:rsid w:val="007F32ED"/>
    <w:rsid w:val="007F3A2B"/>
    <w:rsid w:val="007F3A45"/>
    <w:rsid w:val="007F3AD0"/>
    <w:rsid w:val="007F3F22"/>
    <w:rsid w:val="007F41AE"/>
    <w:rsid w:val="007F4609"/>
    <w:rsid w:val="007F5168"/>
    <w:rsid w:val="007F5E8F"/>
    <w:rsid w:val="007F736F"/>
    <w:rsid w:val="007F7658"/>
    <w:rsid w:val="007F7800"/>
    <w:rsid w:val="007F7C0B"/>
    <w:rsid w:val="008000A5"/>
    <w:rsid w:val="008001BE"/>
    <w:rsid w:val="00800A9C"/>
    <w:rsid w:val="00800CB6"/>
    <w:rsid w:val="00800DCF"/>
    <w:rsid w:val="00802164"/>
    <w:rsid w:val="00802249"/>
    <w:rsid w:val="008027B4"/>
    <w:rsid w:val="00802C2C"/>
    <w:rsid w:val="00802EA0"/>
    <w:rsid w:val="0080362F"/>
    <w:rsid w:val="0080476D"/>
    <w:rsid w:val="00804DF4"/>
    <w:rsid w:val="008061D4"/>
    <w:rsid w:val="00806581"/>
    <w:rsid w:val="00806C04"/>
    <w:rsid w:val="00807AD8"/>
    <w:rsid w:val="00807FA6"/>
    <w:rsid w:val="00810135"/>
    <w:rsid w:val="0081013B"/>
    <w:rsid w:val="0081067F"/>
    <w:rsid w:val="008106FD"/>
    <w:rsid w:val="00810B0B"/>
    <w:rsid w:val="00810C18"/>
    <w:rsid w:val="0081281B"/>
    <w:rsid w:val="00813658"/>
    <w:rsid w:val="0081365B"/>
    <w:rsid w:val="00813A6F"/>
    <w:rsid w:val="00813AEB"/>
    <w:rsid w:val="00814B54"/>
    <w:rsid w:val="00814EA6"/>
    <w:rsid w:val="00814EC8"/>
    <w:rsid w:val="008151BB"/>
    <w:rsid w:val="008160E1"/>
    <w:rsid w:val="00816438"/>
    <w:rsid w:val="008174F5"/>
    <w:rsid w:val="008176F2"/>
    <w:rsid w:val="0081777E"/>
    <w:rsid w:val="00817B2C"/>
    <w:rsid w:val="0082036A"/>
    <w:rsid w:val="0082038E"/>
    <w:rsid w:val="0082050F"/>
    <w:rsid w:val="00820809"/>
    <w:rsid w:val="00820A33"/>
    <w:rsid w:val="008210B4"/>
    <w:rsid w:val="00821516"/>
    <w:rsid w:val="00822A70"/>
    <w:rsid w:val="00822BE4"/>
    <w:rsid w:val="008233F5"/>
    <w:rsid w:val="00823983"/>
    <w:rsid w:val="00823F29"/>
    <w:rsid w:val="008248E1"/>
    <w:rsid w:val="008252A4"/>
    <w:rsid w:val="00825427"/>
    <w:rsid w:val="008259DA"/>
    <w:rsid w:val="00825C3E"/>
    <w:rsid w:val="00825FC8"/>
    <w:rsid w:val="00825FF6"/>
    <w:rsid w:val="00826147"/>
    <w:rsid w:val="008263B8"/>
    <w:rsid w:val="00826947"/>
    <w:rsid w:val="00826B80"/>
    <w:rsid w:val="008272B4"/>
    <w:rsid w:val="008276C0"/>
    <w:rsid w:val="0082786D"/>
    <w:rsid w:val="00827D70"/>
    <w:rsid w:val="00830494"/>
    <w:rsid w:val="008304DE"/>
    <w:rsid w:val="0083063B"/>
    <w:rsid w:val="00830824"/>
    <w:rsid w:val="00830878"/>
    <w:rsid w:val="00830A29"/>
    <w:rsid w:val="00830D7F"/>
    <w:rsid w:val="00832074"/>
    <w:rsid w:val="008321B4"/>
    <w:rsid w:val="00832706"/>
    <w:rsid w:val="00832E34"/>
    <w:rsid w:val="008333A1"/>
    <w:rsid w:val="0083342A"/>
    <w:rsid w:val="00833816"/>
    <w:rsid w:val="008343B7"/>
    <w:rsid w:val="00834666"/>
    <w:rsid w:val="00834AD4"/>
    <w:rsid w:val="00834EEE"/>
    <w:rsid w:val="00834FD6"/>
    <w:rsid w:val="0083519D"/>
    <w:rsid w:val="0083552A"/>
    <w:rsid w:val="00835A37"/>
    <w:rsid w:val="008368DF"/>
    <w:rsid w:val="00836ABA"/>
    <w:rsid w:val="008400EF"/>
    <w:rsid w:val="00840AE4"/>
    <w:rsid w:val="00840B81"/>
    <w:rsid w:val="00841B25"/>
    <w:rsid w:val="00841FFF"/>
    <w:rsid w:val="008422C4"/>
    <w:rsid w:val="00842B90"/>
    <w:rsid w:val="0084399D"/>
    <w:rsid w:val="00843F26"/>
    <w:rsid w:val="0084490A"/>
    <w:rsid w:val="0084493F"/>
    <w:rsid w:val="0084513A"/>
    <w:rsid w:val="008453AD"/>
    <w:rsid w:val="008456D6"/>
    <w:rsid w:val="008468CA"/>
    <w:rsid w:val="008470BA"/>
    <w:rsid w:val="00847218"/>
    <w:rsid w:val="00847333"/>
    <w:rsid w:val="0084761E"/>
    <w:rsid w:val="00850156"/>
    <w:rsid w:val="00850951"/>
    <w:rsid w:val="008510B4"/>
    <w:rsid w:val="00851DF3"/>
    <w:rsid w:val="00851F5E"/>
    <w:rsid w:val="00852FBC"/>
    <w:rsid w:val="00853071"/>
    <w:rsid w:val="008531F8"/>
    <w:rsid w:val="00853331"/>
    <w:rsid w:val="00853758"/>
    <w:rsid w:val="008547AC"/>
    <w:rsid w:val="008568B3"/>
    <w:rsid w:val="008569AD"/>
    <w:rsid w:val="008575A5"/>
    <w:rsid w:val="0086003C"/>
    <w:rsid w:val="0086048D"/>
    <w:rsid w:val="008606CB"/>
    <w:rsid w:val="00860EE6"/>
    <w:rsid w:val="0086153E"/>
    <w:rsid w:val="00861C08"/>
    <w:rsid w:val="00861F54"/>
    <w:rsid w:val="00862173"/>
    <w:rsid w:val="0086288B"/>
    <w:rsid w:val="00862BF1"/>
    <w:rsid w:val="00863073"/>
    <w:rsid w:val="008630A6"/>
    <w:rsid w:val="008630C0"/>
    <w:rsid w:val="008632AF"/>
    <w:rsid w:val="0086352A"/>
    <w:rsid w:val="00863D40"/>
    <w:rsid w:val="00863F8D"/>
    <w:rsid w:val="0086429A"/>
    <w:rsid w:val="008653EF"/>
    <w:rsid w:val="008656F2"/>
    <w:rsid w:val="00865F82"/>
    <w:rsid w:val="00866204"/>
    <w:rsid w:val="008665CF"/>
    <w:rsid w:val="0086684C"/>
    <w:rsid w:val="00866D79"/>
    <w:rsid w:val="00867203"/>
    <w:rsid w:val="008706CB"/>
    <w:rsid w:val="00870876"/>
    <w:rsid w:val="008709E9"/>
    <w:rsid w:val="00870D16"/>
    <w:rsid w:val="00870E21"/>
    <w:rsid w:val="008710F7"/>
    <w:rsid w:val="00871583"/>
    <w:rsid w:val="00871704"/>
    <w:rsid w:val="00871924"/>
    <w:rsid w:val="0087252E"/>
    <w:rsid w:val="008726BF"/>
    <w:rsid w:val="00872745"/>
    <w:rsid w:val="00872A79"/>
    <w:rsid w:val="00872BB3"/>
    <w:rsid w:val="008734F7"/>
    <w:rsid w:val="00873BAB"/>
    <w:rsid w:val="00874281"/>
    <w:rsid w:val="00874405"/>
    <w:rsid w:val="00874610"/>
    <w:rsid w:val="00874A5D"/>
    <w:rsid w:val="00875D9C"/>
    <w:rsid w:val="00875E10"/>
    <w:rsid w:val="00876318"/>
    <w:rsid w:val="008764B3"/>
    <w:rsid w:val="0087661B"/>
    <w:rsid w:val="0087699D"/>
    <w:rsid w:val="00876C4C"/>
    <w:rsid w:val="00880117"/>
    <w:rsid w:val="00880128"/>
    <w:rsid w:val="00880678"/>
    <w:rsid w:val="00880A41"/>
    <w:rsid w:val="00881A43"/>
    <w:rsid w:val="00881DC3"/>
    <w:rsid w:val="00882AD9"/>
    <w:rsid w:val="00882E8F"/>
    <w:rsid w:val="00883C95"/>
    <w:rsid w:val="00885F17"/>
    <w:rsid w:val="008862C2"/>
    <w:rsid w:val="0088667A"/>
    <w:rsid w:val="00886796"/>
    <w:rsid w:val="00886C62"/>
    <w:rsid w:val="00887C8E"/>
    <w:rsid w:val="00890060"/>
    <w:rsid w:val="008901FF"/>
    <w:rsid w:val="008905FA"/>
    <w:rsid w:val="008906AC"/>
    <w:rsid w:val="008908DF"/>
    <w:rsid w:val="0089129D"/>
    <w:rsid w:val="00891AA5"/>
    <w:rsid w:val="00891EDF"/>
    <w:rsid w:val="00892040"/>
    <w:rsid w:val="0089208C"/>
    <w:rsid w:val="00893613"/>
    <w:rsid w:val="0089371E"/>
    <w:rsid w:val="00893882"/>
    <w:rsid w:val="0089399A"/>
    <w:rsid w:val="00893BEB"/>
    <w:rsid w:val="00893D40"/>
    <w:rsid w:val="00893F60"/>
    <w:rsid w:val="008942F1"/>
    <w:rsid w:val="008947B5"/>
    <w:rsid w:val="00894A36"/>
    <w:rsid w:val="00894B57"/>
    <w:rsid w:val="00895152"/>
    <w:rsid w:val="008960FD"/>
    <w:rsid w:val="0089615C"/>
    <w:rsid w:val="00896D8D"/>
    <w:rsid w:val="00897CAF"/>
    <w:rsid w:val="008A002B"/>
    <w:rsid w:val="008A0962"/>
    <w:rsid w:val="008A0CE5"/>
    <w:rsid w:val="008A0D92"/>
    <w:rsid w:val="008A19B0"/>
    <w:rsid w:val="008A1BAE"/>
    <w:rsid w:val="008A1FF5"/>
    <w:rsid w:val="008A2643"/>
    <w:rsid w:val="008A2D75"/>
    <w:rsid w:val="008A2FEE"/>
    <w:rsid w:val="008A3EDE"/>
    <w:rsid w:val="008A45DF"/>
    <w:rsid w:val="008A461F"/>
    <w:rsid w:val="008A4815"/>
    <w:rsid w:val="008A4D9D"/>
    <w:rsid w:val="008A51B0"/>
    <w:rsid w:val="008A5456"/>
    <w:rsid w:val="008A5C5B"/>
    <w:rsid w:val="008A5E89"/>
    <w:rsid w:val="008A6690"/>
    <w:rsid w:val="008A6821"/>
    <w:rsid w:val="008A6DFA"/>
    <w:rsid w:val="008A7DDA"/>
    <w:rsid w:val="008B0B1B"/>
    <w:rsid w:val="008B0D6B"/>
    <w:rsid w:val="008B0E06"/>
    <w:rsid w:val="008B10E9"/>
    <w:rsid w:val="008B1787"/>
    <w:rsid w:val="008B2255"/>
    <w:rsid w:val="008B2456"/>
    <w:rsid w:val="008B249A"/>
    <w:rsid w:val="008B2E94"/>
    <w:rsid w:val="008B3006"/>
    <w:rsid w:val="008B30DC"/>
    <w:rsid w:val="008B3441"/>
    <w:rsid w:val="008B3CCD"/>
    <w:rsid w:val="008B4114"/>
    <w:rsid w:val="008B4135"/>
    <w:rsid w:val="008B4842"/>
    <w:rsid w:val="008B52BB"/>
    <w:rsid w:val="008B538A"/>
    <w:rsid w:val="008B5C1F"/>
    <w:rsid w:val="008B5E3D"/>
    <w:rsid w:val="008B713B"/>
    <w:rsid w:val="008B727F"/>
    <w:rsid w:val="008B7609"/>
    <w:rsid w:val="008B7A04"/>
    <w:rsid w:val="008B7E1A"/>
    <w:rsid w:val="008B7FEA"/>
    <w:rsid w:val="008C05FD"/>
    <w:rsid w:val="008C07D8"/>
    <w:rsid w:val="008C0C69"/>
    <w:rsid w:val="008C0F33"/>
    <w:rsid w:val="008C1333"/>
    <w:rsid w:val="008C1455"/>
    <w:rsid w:val="008C14B5"/>
    <w:rsid w:val="008C1562"/>
    <w:rsid w:val="008C1C7F"/>
    <w:rsid w:val="008C1CE5"/>
    <w:rsid w:val="008C1DBD"/>
    <w:rsid w:val="008C226D"/>
    <w:rsid w:val="008C27E5"/>
    <w:rsid w:val="008C29DF"/>
    <w:rsid w:val="008C339A"/>
    <w:rsid w:val="008C447D"/>
    <w:rsid w:val="008C463F"/>
    <w:rsid w:val="008C4B83"/>
    <w:rsid w:val="008C52EE"/>
    <w:rsid w:val="008C533A"/>
    <w:rsid w:val="008C59A4"/>
    <w:rsid w:val="008C59E3"/>
    <w:rsid w:val="008C7A6F"/>
    <w:rsid w:val="008C7DA3"/>
    <w:rsid w:val="008C7F2B"/>
    <w:rsid w:val="008D035B"/>
    <w:rsid w:val="008D05AF"/>
    <w:rsid w:val="008D0B99"/>
    <w:rsid w:val="008D1186"/>
    <w:rsid w:val="008D196F"/>
    <w:rsid w:val="008D1F93"/>
    <w:rsid w:val="008D2173"/>
    <w:rsid w:val="008D25BE"/>
    <w:rsid w:val="008D2A6D"/>
    <w:rsid w:val="008D30D8"/>
    <w:rsid w:val="008D3517"/>
    <w:rsid w:val="008D37E9"/>
    <w:rsid w:val="008D3866"/>
    <w:rsid w:val="008D386D"/>
    <w:rsid w:val="008D46CD"/>
    <w:rsid w:val="008D4B8D"/>
    <w:rsid w:val="008D4C21"/>
    <w:rsid w:val="008D51E7"/>
    <w:rsid w:val="008D5591"/>
    <w:rsid w:val="008D5AC8"/>
    <w:rsid w:val="008D64F7"/>
    <w:rsid w:val="008D6978"/>
    <w:rsid w:val="008D6D61"/>
    <w:rsid w:val="008D6F07"/>
    <w:rsid w:val="008D7142"/>
    <w:rsid w:val="008D7772"/>
    <w:rsid w:val="008D7BE5"/>
    <w:rsid w:val="008E01DC"/>
    <w:rsid w:val="008E0C98"/>
    <w:rsid w:val="008E1132"/>
    <w:rsid w:val="008E131A"/>
    <w:rsid w:val="008E17D6"/>
    <w:rsid w:val="008E2E1F"/>
    <w:rsid w:val="008E391A"/>
    <w:rsid w:val="008E3AC7"/>
    <w:rsid w:val="008E3C4F"/>
    <w:rsid w:val="008E4170"/>
    <w:rsid w:val="008E42AA"/>
    <w:rsid w:val="008E43BE"/>
    <w:rsid w:val="008E4404"/>
    <w:rsid w:val="008E4546"/>
    <w:rsid w:val="008E474A"/>
    <w:rsid w:val="008E6004"/>
    <w:rsid w:val="008E675B"/>
    <w:rsid w:val="008E7136"/>
    <w:rsid w:val="008E743D"/>
    <w:rsid w:val="008E7C16"/>
    <w:rsid w:val="008E7D37"/>
    <w:rsid w:val="008F1066"/>
    <w:rsid w:val="008F292D"/>
    <w:rsid w:val="008F34B1"/>
    <w:rsid w:val="008F42E0"/>
    <w:rsid w:val="008F4C79"/>
    <w:rsid w:val="008F4CB9"/>
    <w:rsid w:val="008F4F9F"/>
    <w:rsid w:val="008F4FB1"/>
    <w:rsid w:val="008F5365"/>
    <w:rsid w:val="008F54E8"/>
    <w:rsid w:val="008F551A"/>
    <w:rsid w:val="008F55CB"/>
    <w:rsid w:val="008F5C27"/>
    <w:rsid w:val="008F5DF5"/>
    <w:rsid w:val="008F5E0D"/>
    <w:rsid w:val="008F5F15"/>
    <w:rsid w:val="008F691B"/>
    <w:rsid w:val="008F6956"/>
    <w:rsid w:val="0090127C"/>
    <w:rsid w:val="0090153C"/>
    <w:rsid w:val="00902CF2"/>
    <w:rsid w:val="009030D3"/>
    <w:rsid w:val="009031CB"/>
    <w:rsid w:val="009031E1"/>
    <w:rsid w:val="009035BF"/>
    <w:rsid w:val="00903699"/>
    <w:rsid w:val="00903706"/>
    <w:rsid w:val="009037A5"/>
    <w:rsid w:val="00903A9B"/>
    <w:rsid w:val="00904967"/>
    <w:rsid w:val="00904A6C"/>
    <w:rsid w:val="00904BB5"/>
    <w:rsid w:val="00904FA4"/>
    <w:rsid w:val="0090521C"/>
    <w:rsid w:val="00905237"/>
    <w:rsid w:val="00905387"/>
    <w:rsid w:val="00905843"/>
    <w:rsid w:val="00905CE9"/>
    <w:rsid w:val="00905F58"/>
    <w:rsid w:val="00906254"/>
    <w:rsid w:val="009065FB"/>
    <w:rsid w:val="00906642"/>
    <w:rsid w:val="0090666F"/>
    <w:rsid w:val="009074EC"/>
    <w:rsid w:val="0090761E"/>
    <w:rsid w:val="00907836"/>
    <w:rsid w:val="00907EB6"/>
    <w:rsid w:val="00910C1A"/>
    <w:rsid w:val="00910DB5"/>
    <w:rsid w:val="00910FC6"/>
    <w:rsid w:val="00911570"/>
    <w:rsid w:val="009115F6"/>
    <w:rsid w:val="00911740"/>
    <w:rsid w:val="00911B3A"/>
    <w:rsid w:val="0091276B"/>
    <w:rsid w:val="00912F50"/>
    <w:rsid w:val="00913070"/>
    <w:rsid w:val="00914037"/>
    <w:rsid w:val="00915ACD"/>
    <w:rsid w:val="009161EF"/>
    <w:rsid w:val="009162B4"/>
    <w:rsid w:val="0091655B"/>
    <w:rsid w:val="00917705"/>
    <w:rsid w:val="00917CC2"/>
    <w:rsid w:val="009208B2"/>
    <w:rsid w:val="00920928"/>
    <w:rsid w:val="009215C7"/>
    <w:rsid w:val="00921CCA"/>
    <w:rsid w:val="00921E24"/>
    <w:rsid w:val="00921EFD"/>
    <w:rsid w:val="00922043"/>
    <w:rsid w:val="00922209"/>
    <w:rsid w:val="00922753"/>
    <w:rsid w:val="0092287C"/>
    <w:rsid w:val="00922F22"/>
    <w:rsid w:val="00923631"/>
    <w:rsid w:val="009238FB"/>
    <w:rsid w:val="0092435E"/>
    <w:rsid w:val="00924454"/>
    <w:rsid w:val="00924CB5"/>
    <w:rsid w:val="00924D3D"/>
    <w:rsid w:val="00924FC2"/>
    <w:rsid w:val="00925576"/>
    <w:rsid w:val="00926253"/>
    <w:rsid w:val="00926482"/>
    <w:rsid w:val="00926B5D"/>
    <w:rsid w:val="00926D30"/>
    <w:rsid w:val="00926FB3"/>
    <w:rsid w:val="0092723D"/>
    <w:rsid w:val="00927E27"/>
    <w:rsid w:val="00930A54"/>
    <w:rsid w:val="00930EA8"/>
    <w:rsid w:val="00930F8A"/>
    <w:rsid w:val="009312A4"/>
    <w:rsid w:val="009316A6"/>
    <w:rsid w:val="009316B3"/>
    <w:rsid w:val="00932CF9"/>
    <w:rsid w:val="00933C68"/>
    <w:rsid w:val="00933C89"/>
    <w:rsid w:val="00933E10"/>
    <w:rsid w:val="009344D4"/>
    <w:rsid w:val="00934A77"/>
    <w:rsid w:val="00934EC3"/>
    <w:rsid w:val="009351B2"/>
    <w:rsid w:val="009355F8"/>
    <w:rsid w:val="00935721"/>
    <w:rsid w:val="0093638E"/>
    <w:rsid w:val="0093672D"/>
    <w:rsid w:val="00936884"/>
    <w:rsid w:val="00936E64"/>
    <w:rsid w:val="00936FAB"/>
    <w:rsid w:val="0093794E"/>
    <w:rsid w:val="009407A7"/>
    <w:rsid w:val="009415D4"/>
    <w:rsid w:val="00941776"/>
    <w:rsid w:val="00941C87"/>
    <w:rsid w:val="00941E02"/>
    <w:rsid w:val="00942106"/>
    <w:rsid w:val="009421C3"/>
    <w:rsid w:val="0094255F"/>
    <w:rsid w:val="00942F32"/>
    <w:rsid w:val="009432AF"/>
    <w:rsid w:val="00943991"/>
    <w:rsid w:val="00944B2F"/>
    <w:rsid w:val="009457A4"/>
    <w:rsid w:val="00945B99"/>
    <w:rsid w:val="009468EF"/>
    <w:rsid w:val="00947462"/>
    <w:rsid w:val="0094751F"/>
    <w:rsid w:val="0094768B"/>
    <w:rsid w:val="009478A6"/>
    <w:rsid w:val="00947D39"/>
    <w:rsid w:val="00950026"/>
    <w:rsid w:val="00950279"/>
    <w:rsid w:val="00950359"/>
    <w:rsid w:val="00950975"/>
    <w:rsid w:val="00950C59"/>
    <w:rsid w:val="00951113"/>
    <w:rsid w:val="0095123F"/>
    <w:rsid w:val="009524AA"/>
    <w:rsid w:val="00953200"/>
    <w:rsid w:val="009535CE"/>
    <w:rsid w:val="00953991"/>
    <w:rsid w:val="00953D35"/>
    <w:rsid w:val="009557A0"/>
    <w:rsid w:val="00955D86"/>
    <w:rsid w:val="00956394"/>
    <w:rsid w:val="009564BA"/>
    <w:rsid w:val="00957079"/>
    <w:rsid w:val="00957604"/>
    <w:rsid w:val="00957C2F"/>
    <w:rsid w:val="00960340"/>
    <w:rsid w:val="00960516"/>
    <w:rsid w:val="009605BF"/>
    <w:rsid w:val="00960B52"/>
    <w:rsid w:val="00960E92"/>
    <w:rsid w:val="00961333"/>
    <w:rsid w:val="00961533"/>
    <w:rsid w:val="00961DB6"/>
    <w:rsid w:val="00961E98"/>
    <w:rsid w:val="00963073"/>
    <w:rsid w:val="00963F51"/>
    <w:rsid w:val="00964F75"/>
    <w:rsid w:val="009656D0"/>
    <w:rsid w:val="00965E8F"/>
    <w:rsid w:val="00965EB2"/>
    <w:rsid w:val="009665A3"/>
    <w:rsid w:val="00966F27"/>
    <w:rsid w:val="00966F99"/>
    <w:rsid w:val="00967A22"/>
    <w:rsid w:val="00967B08"/>
    <w:rsid w:val="009701AA"/>
    <w:rsid w:val="00970263"/>
    <w:rsid w:val="00970979"/>
    <w:rsid w:val="0097098F"/>
    <w:rsid w:val="009709D5"/>
    <w:rsid w:val="00971548"/>
    <w:rsid w:val="00971EE6"/>
    <w:rsid w:val="00972C5C"/>
    <w:rsid w:val="0097371C"/>
    <w:rsid w:val="00973C6B"/>
    <w:rsid w:val="00973D33"/>
    <w:rsid w:val="00974321"/>
    <w:rsid w:val="00974887"/>
    <w:rsid w:val="00974997"/>
    <w:rsid w:val="00974EC4"/>
    <w:rsid w:val="0097517A"/>
    <w:rsid w:val="00975DFD"/>
    <w:rsid w:val="00975EDF"/>
    <w:rsid w:val="00976440"/>
    <w:rsid w:val="00976D58"/>
    <w:rsid w:val="00976D88"/>
    <w:rsid w:val="0097778B"/>
    <w:rsid w:val="00977AD5"/>
    <w:rsid w:val="00977C82"/>
    <w:rsid w:val="00977E93"/>
    <w:rsid w:val="00980788"/>
    <w:rsid w:val="00981178"/>
    <w:rsid w:val="0098129A"/>
    <w:rsid w:val="0098184A"/>
    <w:rsid w:val="00981960"/>
    <w:rsid w:val="00982ED4"/>
    <w:rsid w:val="009830D4"/>
    <w:rsid w:val="009832A0"/>
    <w:rsid w:val="00983BC1"/>
    <w:rsid w:val="00983D36"/>
    <w:rsid w:val="0098495E"/>
    <w:rsid w:val="0098512C"/>
    <w:rsid w:val="00986F31"/>
    <w:rsid w:val="0098731C"/>
    <w:rsid w:val="0098736F"/>
    <w:rsid w:val="00987AD5"/>
    <w:rsid w:val="00987F0D"/>
    <w:rsid w:val="0099064A"/>
    <w:rsid w:val="00991002"/>
    <w:rsid w:val="009914E2"/>
    <w:rsid w:val="00991533"/>
    <w:rsid w:val="00991963"/>
    <w:rsid w:val="00991CCB"/>
    <w:rsid w:val="00991E3C"/>
    <w:rsid w:val="00991E5D"/>
    <w:rsid w:val="009921EA"/>
    <w:rsid w:val="009922E8"/>
    <w:rsid w:val="00992A08"/>
    <w:rsid w:val="00993067"/>
    <w:rsid w:val="00993A47"/>
    <w:rsid w:val="00993E7D"/>
    <w:rsid w:val="00994575"/>
    <w:rsid w:val="0099549C"/>
    <w:rsid w:val="00995551"/>
    <w:rsid w:val="00995852"/>
    <w:rsid w:val="00996015"/>
    <w:rsid w:val="009963EE"/>
    <w:rsid w:val="0099667E"/>
    <w:rsid w:val="009966AD"/>
    <w:rsid w:val="009967CC"/>
    <w:rsid w:val="0099687D"/>
    <w:rsid w:val="00997908"/>
    <w:rsid w:val="00997A62"/>
    <w:rsid w:val="00997BA7"/>
    <w:rsid w:val="009A0075"/>
    <w:rsid w:val="009A0189"/>
    <w:rsid w:val="009A08AD"/>
    <w:rsid w:val="009A0EED"/>
    <w:rsid w:val="009A11B1"/>
    <w:rsid w:val="009A12EB"/>
    <w:rsid w:val="009A14D9"/>
    <w:rsid w:val="009A27BB"/>
    <w:rsid w:val="009A2B47"/>
    <w:rsid w:val="009A2B53"/>
    <w:rsid w:val="009A355D"/>
    <w:rsid w:val="009A3620"/>
    <w:rsid w:val="009A39E9"/>
    <w:rsid w:val="009A3E13"/>
    <w:rsid w:val="009A486A"/>
    <w:rsid w:val="009A48DE"/>
    <w:rsid w:val="009A49D5"/>
    <w:rsid w:val="009A4A4D"/>
    <w:rsid w:val="009A4C08"/>
    <w:rsid w:val="009A53AB"/>
    <w:rsid w:val="009A53EA"/>
    <w:rsid w:val="009A5812"/>
    <w:rsid w:val="009A5910"/>
    <w:rsid w:val="009A5B51"/>
    <w:rsid w:val="009A5E32"/>
    <w:rsid w:val="009A704D"/>
    <w:rsid w:val="009A7546"/>
    <w:rsid w:val="009A7745"/>
    <w:rsid w:val="009A7A7F"/>
    <w:rsid w:val="009A7F88"/>
    <w:rsid w:val="009B0073"/>
    <w:rsid w:val="009B0947"/>
    <w:rsid w:val="009B0A76"/>
    <w:rsid w:val="009B0DBF"/>
    <w:rsid w:val="009B1225"/>
    <w:rsid w:val="009B2C98"/>
    <w:rsid w:val="009B2F6A"/>
    <w:rsid w:val="009B35F5"/>
    <w:rsid w:val="009B46F9"/>
    <w:rsid w:val="009B524A"/>
    <w:rsid w:val="009B56CB"/>
    <w:rsid w:val="009B58ED"/>
    <w:rsid w:val="009B5BAB"/>
    <w:rsid w:val="009B5D87"/>
    <w:rsid w:val="009B6677"/>
    <w:rsid w:val="009B68E9"/>
    <w:rsid w:val="009B6AC0"/>
    <w:rsid w:val="009B7437"/>
    <w:rsid w:val="009B7781"/>
    <w:rsid w:val="009B7A77"/>
    <w:rsid w:val="009C1C04"/>
    <w:rsid w:val="009C1D40"/>
    <w:rsid w:val="009C2D71"/>
    <w:rsid w:val="009C35C0"/>
    <w:rsid w:val="009C37F0"/>
    <w:rsid w:val="009C3B5D"/>
    <w:rsid w:val="009C4C28"/>
    <w:rsid w:val="009C55C6"/>
    <w:rsid w:val="009C57EA"/>
    <w:rsid w:val="009C5DAC"/>
    <w:rsid w:val="009C5DF0"/>
    <w:rsid w:val="009C5ECC"/>
    <w:rsid w:val="009C678B"/>
    <w:rsid w:val="009C6D38"/>
    <w:rsid w:val="009C6EF2"/>
    <w:rsid w:val="009C6F17"/>
    <w:rsid w:val="009C7016"/>
    <w:rsid w:val="009C71AC"/>
    <w:rsid w:val="009C74D8"/>
    <w:rsid w:val="009C7968"/>
    <w:rsid w:val="009D0408"/>
    <w:rsid w:val="009D07AD"/>
    <w:rsid w:val="009D0A93"/>
    <w:rsid w:val="009D0F75"/>
    <w:rsid w:val="009D112C"/>
    <w:rsid w:val="009D145A"/>
    <w:rsid w:val="009D1BFF"/>
    <w:rsid w:val="009D1D33"/>
    <w:rsid w:val="009D1E4A"/>
    <w:rsid w:val="009D2801"/>
    <w:rsid w:val="009D2844"/>
    <w:rsid w:val="009D2ADA"/>
    <w:rsid w:val="009D32B2"/>
    <w:rsid w:val="009D34F7"/>
    <w:rsid w:val="009D3BB5"/>
    <w:rsid w:val="009D3C5C"/>
    <w:rsid w:val="009D4960"/>
    <w:rsid w:val="009D4D5F"/>
    <w:rsid w:val="009D50EF"/>
    <w:rsid w:val="009D5253"/>
    <w:rsid w:val="009D5C07"/>
    <w:rsid w:val="009D6212"/>
    <w:rsid w:val="009D6C1B"/>
    <w:rsid w:val="009D6DDD"/>
    <w:rsid w:val="009D708B"/>
    <w:rsid w:val="009D723C"/>
    <w:rsid w:val="009D7558"/>
    <w:rsid w:val="009E05F2"/>
    <w:rsid w:val="009E081F"/>
    <w:rsid w:val="009E09AB"/>
    <w:rsid w:val="009E0BD3"/>
    <w:rsid w:val="009E1351"/>
    <w:rsid w:val="009E1534"/>
    <w:rsid w:val="009E163B"/>
    <w:rsid w:val="009E1B38"/>
    <w:rsid w:val="009E227D"/>
    <w:rsid w:val="009E2316"/>
    <w:rsid w:val="009E2C37"/>
    <w:rsid w:val="009E2D5D"/>
    <w:rsid w:val="009E2F8D"/>
    <w:rsid w:val="009E3105"/>
    <w:rsid w:val="009E3566"/>
    <w:rsid w:val="009E3789"/>
    <w:rsid w:val="009E3974"/>
    <w:rsid w:val="009E4AC4"/>
    <w:rsid w:val="009E527F"/>
    <w:rsid w:val="009E567F"/>
    <w:rsid w:val="009E58BD"/>
    <w:rsid w:val="009E5FDE"/>
    <w:rsid w:val="009E634F"/>
    <w:rsid w:val="009E7151"/>
    <w:rsid w:val="009F141F"/>
    <w:rsid w:val="009F1B54"/>
    <w:rsid w:val="009F2113"/>
    <w:rsid w:val="009F26BD"/>
    <w:rsid w:val="009F2A56"/>
    <w:rsid w:val="009F36BB"/>
    <w:rsid w:val="009F3B4B"/>
    <w:rsid w:val="009F417D"/>
    <w:rsid w:val="009F42E7"/>
    <w:rsid w:val="009F4CB0"/>
    <w:rsid w:val="009F5353"/>
    <w:rsid w:val="009F6562"/>
    <w:rsid w:val="009F6633"/>
    <w:rsid w:val="009F712F"/>
    <w:rsid w:val="009F7188"/>
    <w:rsid w:val="009F783C"/>
    <w:rsid w:val="009F7B41"/>
    <w:rsid w:val="009F7E2D"/>
    <w:rsid w:val="009F7EC1"/>
    <w:rsid w:val="009F7F8F"/>
    <w:rsid w:val="00A000DA"/>
    <w:rsid w:val="00A005F4"/>
    <w:rsid w:val="00A00ECA"/>
    <w:rsid w:val="00A00F84"/>
    <w:rsid w:val="00A01ED9"/>
    <w:rsid w:val="00A02B2C"/>
    <w:rsid w:val="00A03106"/>
    <w:rsid w:val="00A04B04"/>
    <w:rsid w:val="00A05607"/>
    <w:rsid w:val="00A05610"/>
    <w:rsid w:val="00A05DFB"/>
    <w:rsid w:val="00A0609D"/>
    <w:rsid w:val="00A063B7"/>
    <w:rsid w:val="00A0688C"/>
    <w:rsid w:val="00A07CAE"/>
    <w:rsid w:val="00A07DEC"/>
    <w:rsid w:val="00A101FB"/>
    <w:rsid w:val="00A10457"/>
    <w:rsid w:val="00A105A2"/>
    <w:rsid w:val="00A10CA5"/>
    <w:rsid w:val="00A11565"/>
    <w:rsid w:val="00A117D6"/>
    <w:rsid w:val="00A11AE9"/>
    <w:rsid w:val="00A1282F"/>
    <w:rsid w:val="00A133EA"/>
    <w:rsid w:val="00A134FC"/>
    <w:rsid w:val="00A13524"/>
    <w:rsid w:val="00A1357E"/>
    <w:rsid w:val="00A13589"/>
    <w:rsid w:val="00A13733"/>
    <w:rsid w:val="00A13A56"/>
    <w:rsid w:val="00A14037"/>
    <w:rsid w:val="00A142B3"/>
    <w:rsid w:val="00A14581"/>
    <w:rsid w:val="00A145EB"/>
    <w:rsid w:val="00A14E82"/>
    <w:rsid w:val="00A1507A"/>
    <w:rsid w:val="00A159CF"/>
    <w:rsid w:val="00A15AFA"/>
    <w:rsid w:val="00A1610A"/>
    <w:rsid w:val="00A16BAA"/>
    <w:rsid w:val="00A16EED"/>
    <w:rsid w:val="00A1710E"/>
    <w:rsid w:val="00A173FA"/>
    <w:rsid w:val="00A17547"/>
    <w:rsid w:val="00A177CE"/>
    <w:rsid w:val="00A20591"/>
    <w:rsid w:val="00A2062E"/>
    <w:rsid w:val="00A20B36"/>
    <w:rsid w:val="00A20B38"/>
    <w:rsid w:val="00A220FE"/>
    <w:rsid w:val="00A22747"/>
    <w:rsid w:val="00A22A15"/>
    <w:rsid w:val="00A22DCE"/>
    <w:rsid w:val="00A236CE"/>
    <w:rsid w:val="00A241B2"/>
    <w:rsid w:val="00A241CB"/>
    <w:rsid w:val="00A24748"/>
    <w:rsid w:val="00A2489C"/>
    <w:rsid w:val="00A24BC7"/>
    <w:rsid w:val="00A264A8"/>
    <w:rsid w:val="00A26D54"/>
    <w:rsid w:val="00A2722B"/>
    <w:rsid w:val="00A277A8"/>
    <w:rsid w:val="00A27997"/>
    <w:rsid w:val="00A27A71"/>
    <w:rsid w:val="00A27B56"/>
    <w:rsid w:val="00A305E8"/>
    <w:rsid w:val="00A30666"/>
    <w:rsid w:val="00A30EBB"/>
    <w:rsid w:val="00A314FE"/>
    <w:rsid w:val="00A31CA7"/>
    <w:rsid w:val="00A32224"/>
    <w:rsid w:val="00A32355"/>
    <w:rsid w:val="00A32560"/>
    <w:rsid w:val="00A3262E"/>
    <w:rsid w:val="00A32AFF"/>
    <w:rsid w:val="00A32D31"/>
    <w:rsid w:val="00A32D78"/>
    <w:rsid w:val="00A33093"/>
    <w:rsid w:val="00A34187"/>
    <w:rsid w:val="00A34E03"/>
    <w:rsid w:val="00A354B8"/>
    <w:rsid w:val="00A3653F"/>
    <w:rsid w:val="00A36632"/>
    <w:rsid w:val="00A366A0"/>
    <w:rsid w:val="00A36884"/>
    <w:rsid w:val="00A37547"/>
    <w:rsid w:val="00A40031"/>
    <w:rsid w:val="00A4012F"/>
    <w:rsid w:val="00A4028F"/>
    <w:rsid w:val="00A40738"/>
    <w:rsid w:val="00A41070"/>
    <w:rsid w:val="00A4118A"/>
    <w:rsid w:val="00A412BA"/>
    <w:rsid w:val="00A414E1"/>
    <w:rsid w:val="00A41C4E"/>
    <w:rsid w:val="00A422DA"/>
    <w:rsid w:val="00A423C9"/>
    <w:rsid w:val="00A4262F"/>
    <w:rsid w:val="00A427D0"/>
    <w:rsid w:val="00A439F3"/>
    <w:rsid w:val="00A43AAA"/>
    <w:rsid w:val="00A43D26"/>
    <w:rsid w:val="00A43EF7"/>
    <w:rsid w:val="00A445D8"/>
    <w:rsid w:val="00A45D70"/>
    <w:rsid w:val="00A4732E"/>
    <w:rsid w:val="00A47853"/>
    <w:rsid w:val="00A47BF0"/>
    <w:rsid w:val="00A47FAA"/>
    <w:rsid w:val="00A5018C"/>
    <w:rsid w:val="00A50829"/>
    <w:rsid w:val="00A50F5B"/>
    <w:rsid w:val="00A50F8F"/>
    <w:rsid w:val="00A51B11"/>
    <w:rsid w:val="00A51D2A"/>
    <w:rsid w:val="00A51DF5"/>
    <w:rsid w:val="00A526C3"/>
    <w:rsid w:val="00A52C99"/>
    <w:rsid w:val="00A530A8"/>
    <w:rsid w:val="00A53F9A"/>
    <w:rsid w:val="00A5400C"/>
    <w:rsid w:val="00A54256"/>
    <w:rsid w:val="00A54C4C"/>
    <w:rsid w:val="00A550EF"/>
    <w:rsid w:val="00A55260"/>
    <w:rsid w:val="00A55599"/>
    <w:rsid w:val="00A55C77"/>
    <w:rsid w:val="00A55CB1"/>
    <w:rsid w:val="00A566A6"/>
    <w:rsid w:val="00A56B3C"/>
    <w:rsid w:val="00A56C63"/>
    <w:rsid w:val="00A5717A"/>
    <w:rsid w:val="00A5731B"/>
    <w:rsid w:val="00A57993"/>
    <w:rsid w:val="00A60861"/>
    <w:rsid w:val="00A61082"/>
    <w:rsid w:val="00A615E8"/>
    <w:rsid w:val="00A61C55"/>
    <w:rsid w:val="00A61C66"/>
    <w:rsid w:val="00A622C8"/>
    <w:rsid w:val="00A62BCA"/>
    <w:rsid w:val="00A639EC"/>
    <w:rsid w:val="00A645E7"/>
    <w:rsid w:val="00A6473A"/>
    <w:rsid w:val="00A651FD"/>
    <w:rsid w:val="00A65508"/>
    <w:rsid w:val="00A6554A"/>
    <w:rsid w:val="00A65B86"/>
    <w:rsid w:val="00A66F6C"/>
    <w:rsid w:val="00A66F84"/>
    <w:rsid w:val="00A679B3"/>
    <w:rsid w:val="00A67E38"/>
    <w:rsid w:val="00A67E45"/>
    <w:rsid w:val="00A70116"/>
    <w:rsid w:val="00A70278"/>
    <w:rsid w:val="00A707C5"/>
    <w:rsid w:val="00A70844"/>
    <w:rsid w:val="00A70F33"/>
    <w:rsid w:val="00A70FFC"/>
    <w:rsid w:val="00A71218"/>
    <w:rsid w:val="00A72393"/>
    <w:rsid w:val="00A724BB"/>
    <w:rsid w:val="00A72635"/>
    <w:rsid w:val="00A73220"/>
    <w:rsid w:val="00A73C95"/>
    <w:rsid w:val="00A74315"/>
    <w:rsid w:val="00A74CD7"/>
    <w:rsid w:val="00A74CFE"/>
    <w:rsid w:val="00A74D3F"/>
    <w:rsid w:val="00A75939"/>
    <w:rsid w:val="00A75BC7"/>
    <w:rsid w:val="00A771D6"/>
    <w:rsid w:val="00A77214"/>
    <w:rsid w:val="00A775DE"/>
    <w:rsid w:val="00A77630"/>
    <w:rsid w:val="00A777FD"/>
    <w:rsid w:val="00A80523"/>
    <w:rsid w:val="00A8216A"/>
    <w:rsid w:val="00A82542"/>
    <w:rsid w:val="00A832BE"/>
    <w:rsid w:val="00A8334F"/>
    <w:rsid w:val="00A8354C"/>
    <w:rsid w:val="00A840D4"/>
    <w:rsid w:val="00A8435D"/>
    <w:rsid w:val="00A84E2B"/>
    <w:rsid w:val="00A8515D"/>
    <w:rsid w:val="00A85396"/>
    <w:rsid w:val="00A85771"/>
    <w:rsid w:val="00A857EF"/>
    <w:rsid w:val="00A85B6C"/>
    <w:rsid w:val="00A85FA1"/>
    <w:rsid w:val="00A863D0"/>
    <w:rsid w:val="00A87807"/>
    <w:rsid w:val="00A87B62"/>
    <w:rsid w:val="00A87E25"/>
    <w:rsid w:val="00A90417"/>
    <w:rsid w:val="00A90474"/>
    <w:rsid w:val="00A9137E"/>
    <w:rsid w:val="00A913AC"/>
    <w:rsid w:val="00A91E89"/>
    <w:rsid w:val="00A91F55"/>
    <w:rsid w:val="00A920D2"/>
    <w:rsid w:val="00A9225C"/>
    <w:rsid w:val="00A922A5"/>
    <w:rsid w:val="00A926BA"/>
    <w:rsid w:val="00A92878"/>
    <w:rsid w:val="00A92E95"/>
    <w:rsid w:val="00A932BF"/>
    <w:rsid w:val="00A933D0"/>
    <w:rsid w:val="00A93FA3"/>
    <w:rsid w:val="00A94559"/>
    <w:rsid w:val="00A94D82"/>
    <w:rsid w:val="00A94E4B"/>
    <w:rsid w:val="00A960D4"/>
    <w:rsid w:val="00A9627E"/>
    <w:rsid w:val="00A966D7"/>
    <w:rsid w:val="00A96FD4"/>
    <w:rsid w:val="00A97EC5"/>
    <w:rsid w:val="00AA02C9"/>
    <w:rsid w:val="00AA08CF"/>
    <w:rsid w:val="00AA0AB6"/>
    <w:rsid w:val="00AA2055"/>
    <w:rsid w:val="00AA24A4"/>
    <w:rsid w:val="00AA259E"/>
    <w:rsid w:val="00AA27ED"/>
    <w:rsid w:val="00AA3738"/>
    <w:rsid w:val="00AA3928"/>
    <w:rsid w:val="00AA3E2C"/>
    <w:rsid w:val="00AA4276"/>
    <w:rsid w:val="00AA4570"/>
    <w:rsid w:val="00AA4FB0"/>
    <w:rsid w:val="00AA5A9D"/>
    <w:rsid w:val="00AA5CEE"/>
    <w:rsid w:val="00AA61C2"/>
    <w:rsid w:val="00AA6509"/>
    <w:rsid w:val="00AA6D8E"/>
    <w:rsid w:val="00AA76D5"/>
    <w:rsid w:val="00AA7725"/>
    <w:rsid w:val="00AA7F49"/>
    <w:rsid w:val="00AB0764"/>
    <w:rsid w:val="00AB18C0"/>
    <w:rsid w:val="00AB1B08"/>
    <w:rsid w:val="00AB1DCD"/>
    <w:rsid w:val="00AB1F1A"/>
    <w:rsid w:val="00AB2D38"/>
    <w:rsid w:val="00AB3C23"/>
    <w:rsid w:val="00AB3E85"/>
    <w:rsid w:val="00AB4100"/>
    <w:rsid w:val="00AB44A5"/>
    <w:rsid w:val="00AB4CAC"/>
    <w:rsid w:val="00AB4D8B"/>
    <w:rsid w:val="00AB5934"/>
    <w:rsid w:val="00AB5BEB"/>
    <w:rsid w:val="00AB6281"/>
    <w:rsid w:val="00AB6F75"/>
    <w:rsid w:val="00AB7894"/>
    <w:rsid w:val="00AB7D57"/>
    <w:rsid w:val="00AC02CD"/>
    <w:rsid w:val="00AC0C6E"/>
    <w:rsid w:val="00AC180B"/>
    <w:rsid w:val="00AC1B5D"/>
    <w:rsid w:val="00AC1F32"/>
    <w:rsid w:val="00AC2017"/>
    <w:rsid w:val="00AC24A0"/>
    <w:rsid w:val="00AC253D"/>
    <w:rsid w:val="00AC2A22"/>
    <w:rsid w:val="00AC2B3E"/>
    <w:rsid w:val="00AC2D9F"/>
    <w:rsid w:val="00AC3127"/>
    <w:rsid w:val="00AC381B"/>
    <w:rsid w:val="00AC3B67"/>
    <w:rsid w:val="00AC3D15"/>
    <w:rsid w:val="00AC4F6B"/>
    <w:rsid w:val="00AC56D8"/>
    <w:rsid w:val="00AC5DAE"/>
    <w:rsid w:val="00AC64AC"/>
    <w:rsid w:val="00AC6A0C"/>
    <w:rsid w:val="00AC70DA"/>
    <w:rsid w:val="00AC73EA"/>
    <w:rsid w:val="00AC75E3"/>
    <w:rsid w:val="00AC7B71"/>
    <w:rsid w:val="00AC7CA0"/>
    <w:rsid w:val="00AD0128"/>
    <w:rsid w:val="00AD059A"/>
    <w:rsid w:val="00AD151C"/>
    <w:rsid w:val="00AD1617"/>
    <w:rsid w:val="00AD232C"/>
    <w:rsid w:val="00AD258F"/>
    <w:rsid w:val="00AD2673"/>
    <w:rsid w:val="00AD31BF"/>
    <w:rsid w:val="00AD3B91"/>
    <w:rsid w:val="00AD41D8"/>
    <w:rsid w:val="00AD4EFC"/>
    <w:rsid w:val="00AD528A"/>
    <w:rsid w:val="00AD55A6"/>
    <w:rsid w:val="00AD63B8"/>
    <w:rsid w:val="00AD6453"/>
    <w:rsid w:val="00AD67C0"/>
    <w:rsid w:val="00AD6838"/>
    <w:rsid w:val="00AD683F"/>
    <w:rsid w:val="00AD76E2"/>
    <w:rsid w:val="00AD7A41"/>
    <w:rsid w:val="00AE032E"/>
    <w:rsid w:val="00AE0419"/>
    <w:rsid w:val="00AE1128"/>
    <w:rsid w:val="00AE225B"/>
    <w:rsid w:val="00AE28DC"/>
    <w:rsid w:val="00AE2BF2"/>
    <w:rsid w:val="00AE3DF1"/>
    <w:rsid w:val="00AE3F68"/>
    <w:rsid w:val="00AE41CF"/>
    <w:rsid w:val="00AE53EA"/>
    <w:rsid w:val="00AE545C"/>
    <w:rsid w:val="00AE56F4"/>
    <w:rsid w:val="00AE5EEA"/>
    <w:rsid w:val="00AE610F"/>
    <w:rsid w:val="00AE6395"/>
    <w:rsid w:val="00AE644D"/>
    <w:rsid w:val="00AE6F31"/>
    <w:rsid w:val="00AE74AC"/>
    <w:rsid w:val="00AF0259"/>
    <w:rsid w:val="00AF0375"/>
    <w:rsid w:val="00AF0EA1"/>
    <w:rsid w:val="00AF1180"/>
    <w:rsid w:val="00AF2D51"/>
    <w:rsid w:val="00AF3F99"/>
    <w:rsid w:val="00AF413D"/>
    <w:rsid w:val="00AF4EDF"/>
    <w:rsid w:val="00AF5631"/>
    <w:rsid w:val="00AF5BE5"/>
    <w:rsid w:val="00AF65C6"/>
    <w:rsid w:val="00AF6FC4"/>
    <w:rsid w:val="00AF797E"/>
    <w:rsid w:val="00B00009"/>
    <w:rsid w:val="00B0002E"/>
    <w:rsid w:val="00B00125"/>
    <w:rsid w:val="00B0034E"/>
    <w:rsid w:val="00B00AC1"/>
    <w:rsid w:val="00B014A0"/>
    <w:rsid w:val="00B016E8"/>
    <w:rsid w:val="00B0197F"/>
    <w:rsid w:val="00B01E20"/>
    <w:rsid w:val="00B0215D"/>
    <w:rsid w:val="00B02262"/>
    <w:rsid w:val="00B024E0"/>
    <w:rsid w:val="00B02EC9"/>
    <w:rsid w:val="00B03400"/>
    <w:rsid w:val="00B0388A"/>
    <w:rsid w:val="00B0394A"/>
    <w:rsid w:val="00B04A28"/>
    <w:rsid w:val="00B04C36"/>
    <w:rsid w:val="00B056C1"/>
    <w:rsid w:val="00B057E0"/>
    <w:rsid w:val="00B05C39"/>
    <w:rsid w:val="00B05DC0"/>
    <w:rsid w:val="00B06092"/>
    <w:rsid w:val="00B06108"/>
    <w:rsid w:val="00B06236"/>
    <w:rsid w:val="00B06B63"/>
    <w:rsid w:val="00B06FCC"/>
    <w:rsid w:val="00B07298"/>
    <w:rsid w:val="00B0747B"/>
    <w:rsid w:val="00B079F2"/>
    <w:rsid w:val="00B10D55"/>
    <w:rsid w:val="00B10E92"/>
    <w:rsid w:val="00B11152"/>
    <w:rsid w:val="00B1161C"/>
    <w:rsid w:val="00B11784"/>
    <w:rsid w:val="00B119D0"/>
    <w:rsid w:val="00B121B3"/>
    <w:rsid w:val="00B1223D"/>
    <w:rsid w:val="00B122DF"/>
    <w:rsid w:val="00B12613"/>
    <w:rsid w:val="00B12824"/>
    <w:rsid w:val="00B1306D"/>
    <w:rsid w:val="00B13294"/>
    <w:rsid w:val="00B132B0"/>
    <w:rsid w:val="00B1378B"/>
    <w:rsid w:val="00B145FD"/>
    <w:rsid w:val="00B15717"/>
    <w:rsid w:val="00B158D6"/>
    <w:rsid w:val="00B15F7A"/>
    <w:rsid w:val="00B163FD"/>
    <w:rsid w:val="00B175DD"/>
    <w:rsid w:val="00B17832"/>
    <w:rsid w:val="00B200A1"/>
    <w:rsid w:val="00B20114"/>
    <w:rsid w:val="00B203F0"/>
    <w:rsid w:val="00B20DA0"/>
    <w:rsid w:val="00B20F4D"/>
    <w:rsid w:val="00B214A7"/>
    <w:rsid w:val="00B22205"/>
    <w:rsid w:val="00B2260C"/>
    <w:rsid w:val="00B22E9C"/>
    <w:rsid w:val="00B2308C"/>
    <w:rsid w:val="00B23156"/>
    <w:rsid w:val="00B23C08"/>
    <w:rsid w:val="00B23F10"/>
    <w:rsid w:val="00B24E32"/>
    <w:rsid w:val="00B24FE4"/>
    <w:rsid w:val="00B25034"/>
    <w:rsid w:val="00B2575D"/>
    <w:rsid w:val="00B266F7"/>
    <w:rsid w:val="00B2670C"/>
    <w:rsid w:val="00B27068"/>
    <w:rsid w:val="00B2717E"/>
    <w:rsid w:val="00B271F1"/>
    <w:rsid w:val="00B27306"/>
    <w:rsid w:val="00B27881"/>
    <w:rsid w:val="00B278A2"/>
    <w:rsid w:val="00B2798E"/>
    <w:rsid w:val="00B3004B"/>
    <w:rsid w:val="00B3061E"/>
    <w:rsid w:val="00B31213"/>
    <w:rsid w:val="00B318FE"/>
    <w:rsid w:val="00B32D23"/>
    <w:rsid w:val="00B32E31"/>
    <w:rsid w:val="00B33A0C"/>
    <w:rsid w:val="00B3429B"/>
    <w:rsid w:val="00B34B2A"/>
    <w:rsid w:val="00B34E65"/>
    <w:rsid w:val="00B35B60"/>
    <w:rsid w:val="00B35EF0"/>
    <w:rsid w:val="00B36481"/>
    <w:rsid w:val="00B367D5"/>
    <w:rsid w:val="00B36B91"/>
    <w:rsid w:val="00B36D0C"/>
    <w:rsid w:val="00B371DF"/>
    <w:rsid w:val="00B3770E"/>
    <w:rsid w:val="00B37A3B"/>
    <w:rsid w:val="00B4018C"/>
    <w:rsid w:val="00B4065A"/>
    <w:rsid w:val="00B408C2"/>
    <w:rsid w:val="00B411C1"/>
    <w:rsid w:val="00B4128A"/>
    <w:rsid w:val="00B412D6"/>
    <w:rsid w:val="00B41B00"/>
    <w:rsid w:val="00B41BCC"/>
    <w:rsid w:val="00B41D8B"/>
    <w:rsid w:val="00B41FA8"/>
    <w:rsid w:val="00B43050"/>
    <w:rsid w:val="00B43118"/>
    <w:rsid w:val="00B43AE2"/>
    <w:rsid w:val="00B43D0E"/>
    <w:rsid w:val="00B43F4A"/>
    <w:rsid w:val="00B444C9"/>
    <w:rsid w:val="00B448A1"/>
    <w:rsid w:val="00B454E3"/>
    <w:rsid w:val="00B454FD"/>
    <w:rsid w:val="00B46131"/>
    <w:rsid w:val="00B468B3"/>
    <w:rsid w:val="00B46F27"/>
    <w:rsid w:val="00B4769E"/>
    <w:rsid w:val="00B477BD"/>
    <w:rsid w:val="00B47995"/>
    <w:rsid w:val="00B47CA5"/>
    <w:rsid w:val="00B500D2"/>
    <w:rsid w:val="00B50291"/>
    <w:rsid w:val="00B50565"/>
    <w:rsid w:val="00B51F18"/>
    <w:rsid w:val="00B51F37"/>
    <w:rsid w:val="00B522A6"/>
    <w:rsid w:val="00B52A54"/>
    <w:rsid w:val="00B52AFD"/>
    <w:rsid w:val="00B53260"/>
    <w:rsid w:val="00B53298"/>
    <w:rsid w:val="00B53596"/>
    <w:rsid w:val="00B53B6E"/>
    <w:rsid w:val="00B5440F"/>
    <w:rsid w:val="00B55525"/>
    <w:rsid w:val="00B55A80"/>
    <w:rsid w:val="00B56469"/>
    <w:rsid w:val="00B564CA"/>
    <w:rsid w:val="00B56AEE"/>
    <w:rsid w:val="00B56B9A"/>
    <w:rsid w:val="00B56D98"/>
    <w:rsid w:val="00B56EEF"/>
    <w:rsid w:val="00B57DF0"/>
    <w:rsid w:val="00B57EAE"/>
    <w:rsid w:val="00B60170"/>
    <w:rsid w:val="00B60CC3"/>
    <w:rsid w:val="00B612D0"/>
    <w:rsid w:val="00B62052"/>
    <w:rsid w:val="00B622C4"/>
    <w:rsid w:val="00B623DB"/>
    <w:rsid w:val="00B62D5B"/>
    <w:rsid w:val="00B62F9F"/>
    <w:rsid w:val="00B63138"/>
    <w:rsid w:val="00B63978"/>
    <w:rsid w:val="00B644F9"/>
    <w:rsid w:val="00B645CA"/>
    <w:rsid w:val="00B64B7F"/>
    <w:rsid w:val="00B64C5B"/>
    <w:rsid w:val="00B65371"/>
    <w:rsid w:val="00B65C17"/>
    <w:rsid w:val="00B6623B"/>
    <w:rsid w:val="00B66B57"/>
    <w:rsid w:val="00B6700C"/>
    <w:rsid w:val="00B67179"/>
    <w:rsid w:val="00B675D8"/>
    <w:rsid w:val="00B67680"/>
    <w:rsid w:val="00B6781D"/>
    <w:rsid w:val="00B67DD5"/>
    <w:rsid w:val="00B67E78"/>
    <w:rsid w:val="00B67F62"/>
    <w:rsid w:val="00B70377"/>
    <w:rsid w:val="00B70CF6"/>
    <w:rsid w:val="00B70D48"/>
    <w:rsid w:val="00B716FA"/>
    <w:rsid w:val="00B72D7F"/>
    <w:rsid w:val="00B734C4"/>
    <w:rsid w:val="00B738DB"/>
    <w:rsid w:val="00B73E60"/>
    <w:rsid w:val="00B74360"/>
    <w:rsid w:val="00B74DB9"/>
    <w:rsid w:val="00B751F1"/>
    <w:rsid w:val="00B7530A"/>
    <w:rsid w:val="00B75563"/>
    <w:rsid w:val="00B769E8"/>
    <w:rsid w:val="00B774D3"/>
    <w:rsid w:val="00B776BE"/>
    <w:rsid w:val="00B776D0"/>
    <w:rsid w:val="00B778FE"/>
    <w:rsid w:val="00B77E77"/>
    <w:rsid w:val="00B77F04"/>
    <w:rsid w:val="00B77F29"/>
    <w:rsid w:val="00B80060"/>
    <w:rsid w:val="00B8017B"/>
    <w:rsid w:val="00B80454"/>
    <w:rsid w:val="00B8082F"/>
    <w:rsid w:val="00B80B0B"/>
    <w:rsid w:val="00B80E0C"/>
    <w:rsid w:val="00B819F4"/>
    <w:rsid w:val="00B81AA6"/>
    <w:rsid w:val="00B81BA7"/>
    <w:rsid w:val="00B81FBE"/>
    <w:rsid w:val="00B821B5"/>
    <w:rsid w:val="00B8306E"/>
    <w:rsid w:val="00B834F3"/>
    <w:rsid w:val="00B838A5"/>
    <w:rsid w:val="00B84C88"/>
    <w:rsid w:val="00B84E04"/>
    <w:rsid w:val="00B85220"/>
    <w:rsid w:val="00B853BF"/>
    <w:rsid w:val="00B858A7"/>
    <w:rsid w:val="00B86213"/>
    <w:rsid w:val="00B86755"/>
    <w:rsid w:val="00B87A80"/>
    <w:rsid w:val="00B87C8D"/>
    <w:rsid w:val="00B9048D"/>
    <w:rsid w:val="00B907AE"/>
    <w:rsid w:val="00B908AC"/>
    <w:rsid w:val="00B91F3B"/>
    <w:rsid w:val="00B91FA7"/>
    <w:rsid w:val="00B92147"/>
    <w:rsid w:val="00B9217C"/>
    <w:rsid w:val="00B92356"/>
    <w:rsid w:val="00B92951"/>
    <w:rsid w:val="00B93CA8"/>
    <w:rsid w:val="00B942FC"/>
    <w:rsid w:val="00B9433F"/>
    <w:rsid w:val="00B94E52"/>
    <w:rsid w:val="00B95468"/>
    <w:rsid w:val="00B95742"/>
    <w:rsid w:val="00B96039"/>
    <w:rsid w:val="00B96E55"/>
    <w:rsid w:val="00B9729D"/>
    <w:rsid w:val="00B9754F"/>
    <w:rsid w:val="00B976F8"/>
    <w:rsid w:val="00BA0086"/>
    <w:rsid w:val="00BA0868"/>
    <w:rsid w:val="00BA0966"/>
    <w:rsid w:val="00BA0AF6"/>
    <w:rsid w:val="00BA0C29"/>
    <w:rsid w:val="00BA1F9A"/>
    <w:rsid w:val="00BA279C"/>
    <w:rsid w:val="00BA2F1D"/>
    <w:rsid w:val="00BA2F57"/>
    <w:rsid w:val="00BA30D6"/>
    <w:rsid w:val="00BA3782"/>
    <w:rsid w:val="00BA3CB5"/>
    <w:rsid w:val="00BA40CD"/>
    <w:rsid w:val="00BA4858"/>
    <w:rsid w:val="00BA4F94"/>
    <w:rsid w:val="00BA53C2"/>
    <w:rsid w:val="00BA53CB"/>
    <w:rsid w:val="00BA6BC8"/>
    <w:rsid w:val="00BA6E5E"/>
    <w:rsid w:val="00BA7701"/>
    <w:rsid w:val="00BA7B2C"/>
    <w:rsid w:val="00BB069C"/>
    <w:rsid w:val="00BB0935"/>
    <w:rsid w:val="00BB18D4"/>
    <w:rsid w:val="00BB1EB7"/>
    <w:rsid w:val="00BB2254"/>
    <w:rsid w:val="00BB27FC"/>
    <w:rsid w:val="00BB296C"/>
    <w:rsid w:val="00BB2B29"/>
    <w:rsid w:val="00BB2B70"/>
    <w:rsid w:val="00BB2FBD"/>
    <w:rsid w:val="00BB3226"/>
    <w:rsid w:val="00BB383A"/>
    <w:rsid w:val="00BB4060"/>
    <w:rsid w:val="00BB46DC"/>
    <w:rsid w:val="00BB4894"/>
    <w:rsid w:val="00BB4C90"/>
    <w:rsid w:val="00BB4E5E"/>
    <w:rsid w:val="00BB5535"/>
    <w:rsid w:val="00BB6B46"/>
    <w:rsid w:val="00BB795B"/>
    <w:rsid w:val="00BC050E"/>
    <w:rsid w:val="00BC09C0"/>
    <w:rsid w:val="00BC09C7"/>
    <w:rsid w:val="00BC0BD8"/>
    <w:rsid w:val="00BC103A"/>
    <w:rsid w:val="00BC11AE"/>
    <w:rsid w:val="00BC144E"/>
    <w:rsid w:val="00BC1942"/>
    <w:rsid w:val="00BC19A9"/>
    <w:rsid w:val="00BC3151"/>
    <w:rsid w:val="00BC321F"/>
    <w:rsid w:val="00BC36BC"/>
    <w:rsid w:val="00BC3940"/>
    <w:rsid w:val="00BC3D10"/>
    <w:rsid w:val="00BC3F50"/>
    <w:rsid w:val="00BC454D"/>
    <w:rsid w:val="00BC4611"/>
    <w:rsid w:val="00BC4E1A"/>
    <w:rsid w:val="00BC51E7"/>
    <w:rsid w:val="00BC67AD"/>
    <w:rsid w:val="00BC6F86"/>
    <w:rsid w:val="00BC7013"/>
    <w:rsid w:val="00BC72D1"/>
    <w:rsid w:val="00BC7575"/>
    <w:rsid w:val="00BC7636"/>
    <w:rsid w:val="00BC7F6D"/>
    <w:rsid w:val="00BD03D7"/>
    <w:rsid w:val="00BD0504"/>
    <w:rsid w:val="00BD0B9E"/>
    <w:rsid w:val="00BD0F08"/>
    <w:rsid w:val="00BD12AF"/>
    <w:rsid w:val="00BD2AB6"/>
    <w:rsid w:val="00BD2CEC"/>
    <w:rsid w:val="00BD348C"/>
    <w:rsid w:val="00BD3E1E"/>
    <w:rsid w:val="00BD3F4C"/>
    <w:rsid w:val="00BD4CDD"/>
    <w:rsid w:val="00BD50CF"/>
    <w:rsid w:val="00BD5644"/>
    <w:rsid w:val="00BD59D5"/>
    <w:rsid w:val="00BD6A1F"/>
    <w:rsid w:val="00BD6B13"/>
    <w:rsid w:val="00BD6C15"/>
    <w:rsid w:val="00BD6D76"/>
    <w:rsid w:val="00BD6E36"/>
    <w:rsid w:val="00BD73F4"/>
    <w:rsid w:val="00BD765B"/>
    <w:rsid w:val="00BD7A8A"/>
    <w:rsid w:val="00BD7AAA"/>
    <w:rsid w:val="00BD7E30"/>
    <w:rsid w:val="00BE05D7"/>
    <w:rsid w:val="00BE0AB7"/>
    <w:rsid w:val="00BE0E00"/>
    <w:rsid w:val="00BE0E0C"/>
    <w:rsid w:val="00BE1380"/>
    <w:rsid w:val="00BE157D"/>
    <w:rsid w:val="00BE1645"/>
    <w:rsid w:val="00BE1CE6"/>
    <w:rsid w:val="00BE1E54"/>
    <w:rsid w:val="00BE2298"/>
    <w:rsid w:val="00BE244E"/>
    <w:rsid w:val="00BE2815"/>
    <w:rsid w:val="00BE31AF"/>
    <w:rsid w:val="00BE3C43"/>
    <w:rsid w:val="00BE3E5C"/>
    <w:rsid w:val="00BE4687"/>
    <w:rsid w:val="00BE4D1A"/>
    <w:rsid w:val="00BE4E85"/>
    <w:rsid w:val="00BE59E1"/>
    <w:rsid w:val="00BE7D7A"/>
    <w:rsid w:val="00BE7ECE"/>
    <w:rsid w:val="00BF007A"/>
    <w:rsid w:val="00BF02B6"/>
    <w:rsid w:val="00BF0F90"/>
    <w:rsid w:val="00BF153E"/>
    <w:rsid w:val="00BF2DBD"/>
    <w:rsid w:val="00BF35A1"/>
    <w:rsid w:val="00BF35B2"/>
    <w:rsid w:val="00BF4313"/>
    <w:rsid w:val="00BF453B"/>
    <w:rsid w:val="00BF576F"/>
    <w:rsid w:val="00BF650A"/>
    <w:rsid w:val="00BF65D9"/>
    <w:rsid w:val="00BF65E3"/>
    <w:rsid w:val="00BF701C"/>
    <w:rsid w:val="00BF7657"/>
    <w:rsid w:val="00BF7790"/>
    <w:rsid w:val="00BF7A20"/>
    <w:rsid w:val="00BF7F83"/>
    <w:rsid w:val="00C0086E"/>
    <w:rsid w:val="00C00ABB"/>
    <w:rsid w:val="00C0168B"/>
    <w:rsid w:val="00C01BA4"/>
    <w:rsid w:val="00C01D93"/>
    <w:rsid w:val="00C02632"/>
    <w:rsid w:val="00C029EE"/>
    <w:rsid w:val="00C02DA9"/>
    <w:rsid w:val="00C0339D"/>
    <w:rsid w:val="00C03EA1"/>
    <w:rsid w:val="00C0403D"/>
    <w:rsid w:val="00C04136"/>
    <w:rsid w:val="00C04183"/>
    <w:rsid w:val="00C04867"/>
    <w:rsid w:val="00C049C6"/>
    <w:rsid w:val="00C05AB1"/>
    <w:rsid w:val="00C05B2C"/>
    <w:rsid w:val="00C06066"/>
    <w:rsid w:val="00C062E2"/>
    <w:rsid w:val="00C06D24"/>
    <w:rsid w:val="00C06E1E"/>
    <w:rsid w:val="00C06E99"/>
    <w:rsid w:val="00C0741E"/>
    <w:rsid w:val="00C075DD"/>
    <w:rsid w:val="00C07D68"/>
    <w:rsid w:val="00C07F96"/>
    <w:rsid w:val="00C10019"/>
    <w:rsid w:val="00C10621"/>
    <w:rsid w:val="00C10C08"/>
    <w:rsid w:val="00C10C67"/>
    <w:rsid w:val="00C10CF3"/>
    <w:rsid w:val="00C11215"/>
    <w:rsid w:val="00C112CA"/>
    <w:rsid w:val="00C11867"/>
    <w:rsid w:val="00C118FE"/>
    <w:rsid w:val="00C11F77"/>
    <w:rsid w:val="00C123FA"/>
    <w:rsid w:val="00C12A70"/>
    <w:rsid w:val="00C12BFA"/>
    <w:rsid w:val="00C1402D"/>
    <w:rsid w:val="00C14803"/>
    <w:rsid w:val="00C14AE8"/>
    <w:rsid w:val="00C150FD"/>
    <w:rsid w:val="00C15890"/>
    <w:rsid w:val="00C15C6B"/>
    <w:rsid w:val="00C15E8F"/>
    <w:rsid w:val="00C16348"/>
    <w:rsid w:val="00C16717"/>
    <w:rsid w:val="00C1694D"/>
    <w:rsid w:val="00C16AEB"/>
    <w:rsid w:val="00C16B63"/>
    <w:rsid w:val="00C172A5"/>
    <w:rsid w:val="00C17679"/>
    <w:rsid w:val="00C17921"/>
    <w:rsid w:val="00C17990"/>
    <w:rsid w:val="00C17C28"/>
    <w:rsid w:val="00C20106"/>
    <w:rsid w:val="00C20294"/>
    <w:rsid w:val="00C211B9"/>
    <w:rsid w:val="00C21625"/>
    <w:rsid w:val="00C22FF5"/>
    <w:rsid w:val="00C23DC5"/>
    <w:rsid w:val="00C2421B"/>
    <w:rsid w:val="00C245F0"/>
    <w:rsid w:val="00C24AF8"/>
    <w:rsid w:val="00C24B24"/>
    <w:rsid w:val="00C24BEA"/>
    <w:rsid w:val="00C251CF"/>
    <w:rsid w:val="00C256CB"/>
    <w:rsid w:val="00C25977"/>
    <w:rsid w:val="00C25C12"/>
    <w:rsid w:val="00C25E88"/>
    <w:rsid w:val="00C25F40"/>
    <w:rsid w:val="00C25F69"/>
    <w:rsid w:val="00C268A5"/>
    <w:rsid w:val="00C269EF"/>
    <w:rsid w:val="00C26B0B"/>
    <w:rsid w:val="00C278A4"/>
    <w:rsid w:val="00C27A0B"/>
    <w:rsid w:val="00C27DD0"/>
    <w:rsid w:val="00C27F56"/>
    <w:rsid w:val="00C30062"/>
    <w:rsid w:val="00C305FE"/>
    <w:rsid w:val="00C30A71"/>
    <w:rsid w:val="00C314DC"/>
    <w:rsid w:val="00C318B2"/>
    <w:rsid w:val="00C31909"/>
    <w:rsid w:val="00C3278D"/>
    <w:rsid w:val="00C3468B"/>
    <w:rsid w:val="00C34EF0"/>
    <w:rsid w:val="00C358C2"/>
    <w:rsid w:val="00C35C11"/>
    <w:rsid w:val="00C35DEF"/>
    <w:rsid w:val="00C360EB"/>
    <w:rsid w:val="00C36580"/>
    <w:rsid w:val="00C369FF"/>
    <w:rsid w:val="00C36A3E"/>
    <w:rsid w:val="00C36EC0"/>
    <w:rsid w:val="00C371BC"/>
    <w:rsid w:val="00C37202"/>
    <w:rsid w:val="00C40E3A"/>
    <w:rsid w:val="00C40F25"/>
    <w:rsid w:val="00C41159"/>
    <w:rsid w:val="00C41474"/>
    <w:rsid w:val="00C41FC2"/>
    <w:rsid w:val="00C42156"/>
    <w:rsid w:val="00C42B54"/>
    <w:rsid w:val="00C43702"/>
    <w:rsid w:val="00C440A8"/>
    <w:rsid w:val="00C44115"/>
    <w:rsid w:val="00C446B8"/>
    <w:rsid w:val="00C44D39"/>
    <w:rsid w:val="00C44DDA"/>
    <w:rsid w:val="00C4564E"/>
    <w:rsid w:val="00C4579C"/>
    <w:rsid w:val="00C463BF"/>
    <w:rsid w:val="00C46823"/>
    <w:rsid w:val="00C46841"/>
    <w:rsid w:val="00C470B1"/>
    <w:rsid w:val="00C472B9"/>
    <w:rsid w:val="00C47457"/>
    <w:rsid w:val="00C475C0"/>
    <w:rsid w:val="00C514FF"/>
    <w:rsid w:val="00C51BB1"/>
    <w:rsid w:val="00C51D0C"/>
    <w:rsid w:val="00C53C88"/>
    <w:rsid w:val="00C549D9"/>
    <w:rsid w:val="00C55004"/>
    <w:rsid w:val="00C55398"/>
    <w:rsid w:val="00C553A7"/>
    <w:rsid w:val="00C55528"/>
    <w:rsid w:val="00C55ADF"/>
    <w:rsid w:val="00C55B66"/>
    <w:rsid w:val="00C55BEC"/>
    <w:rsid w:val="00C55F96"/>
    <w:rsid w:val="00C56620"/>
    <w:rsid w:val="00C56EF4"/>
    <w:rsid w:val="00C57600"/>
    <w:rsid w:val="00C57B69"/>
    <w:rsid w:val="00C6024C"/>
    <w:rsid w:val="00C60832"/>
    <w:rsid w:val="00C60DF3"/>
    <w:rsid w:val="00C60EB2"/>
    <w:rsid w:val="00C61345"/>
    <w:rsid w:val="00C6165F"/>
    <w:rsid w:val="00C61AC9"/>
    <w:rsid w:val="00C61C7E"/>
    <w:rsid w:val="00C61F75"/>
    <w:rsid w:val="00C623C8"/>
    <w:rsid w:val="00C62841"/>
    <w:rsid w:val="00C62848"/>
    <w:rsid w:val="00C629CF"/>
    <w:rsid w:val="00C62A28"/>
    <w:rsid w:val="00C6367F"/>
    <w:rsid w:val="00C63FA7"/>
    <w:rsid w:val="00C641A9"/>
    <w:rsid w:val="00C642C1"/>
    <w:rsid w:val="00C65852"/>
    <w:rsid w:val="00C65BE5"/>
    <w:rsid w:val="00C65D43"/>
    <w:rsid w:val="00C66D03"/>
    <w:rsid w:val="00C7055C"/>
    <w:rsid w:val="00C707F9"/>
    <w:rsid w:val="00C71389"/>
    <w:rsid w:val="00C72293"/>
    <w:rsid w:val="00C726F7"/>
    <w:rsid w:val="00C72971"/>
    <w:rsid w:val="00C737F8"/>
    <w:rsid w:val="00C74AA3"/>
    <w:rsid w:val="00C74F6C"/>
    <w:rsid w:val="00C74F76"/>
    <w:rsid w:val="00C74FB8"/>
    <w:rsid w:val="00C74FE8"/>
    <w:rsid w:val="00C75231"/>
    <w:rsid w:val="00C7537A"/>
    <w:rsid w:val="00C753FA"/>
    <w:rsid w:val="00C755F6"/>
    <w:rsid w:val="00C75C2B"/>
    <w:rsid w:val="00C75DAC"/>
    <w:rsid w:val="00C7600A"/>
    <w:rsid w:val="00C76324"/>
    <w:rsid w:val="00C76379"/>
    <w:rsid w:val="00C7704C"/>
    <w:rsid w:val="00C7739A"/>
    <w:rsid w:val="00C80116"/>
    <w:rsid w:val="00C806A3"/>
    <w:rsid w:val="00C80CA8"/>
    <w:rsid w:val="00C80FFA"/>
    <w:rsid w:val="00C81035"/>
    <w:rsid w:val="00C81D27"/>
    <w:rsid w:val="00C81E73"/>
    <w:rsid w:val="00C82589"/>
    <w:rsid w:val="00C825D0"/>
    <w:rsid w:val="00C829FC"/>
    <w:rsid w:val="00C842FC"/>
    <w:rsid w:val="00C84389"/>
    <w:rsid w:val="00C84566"/>
    <w:rsid w:val="00C859D7"/>
    <w:rsid w:val="00C8678E"/>
    <w:rsid w:val="00C86F91"/>
    <w:rsid w:val="00C8758C"/>
    <w:rsid w:val="00C87A22"/>
    <w:rsid w:val="00C87ADF"/>
    <w:rsid w:val="00C87B38"/>
    <w:rsid w:val="00C87E69"/>
    <w:rsid w:val="00C90AB0"/>
    <w:rsid w:val="00C90DE9"/>
    <w:rsid w:val="00C90FC1"/>
    <w:rsid w:val="00C91C28"/>
    <w:rsid w:val="00C921E9"/>
    <w:rsid w:val="00C92640"/>
    <w:rsid w:val="00C92938"/>
    <w:rsid w:val="00C92991"/>
    <w:rsid w:val="00C92A70"/>
    <w:rsid w:val="00C92BC7"/>
    <w:rsid w:val="00C92F2C"/>
    <w:rsid w:val="00C93525"/>
    <w:rsid w:val="00C93C62"/>
    <w:rsid w:val="00C947D7"/>
    <w:rsid w:val="00C94D0B"/>
    <w:rsid w:val="00C954C9"/>
    <w:rsid w:val="00C955AB"/>
    <w:rsid w:val="00C95837"/>
    <w:rsid w:val="00C96E3B"/>
    <w:rsid w:val="00C977B5"/>
    <w:rsid w:val="00C97B49"/>
    <w:rsid w:val="00C97E08"/>
    <w:rsid w:val="00C97EB9"/>
    <w:rsid w:val="00CA0B9B"/>
    <w:rsid w:val="00CA0C12"/>
    <w:rsid w:val="00CA197C"/>
    <w:rsid w:val="00CA2139"/>
    <w:rsid w:val="00CA2E12"/>
    <w:rsid w:val="00CA34C6"/>
    <w:rsid w:val="00CA383F"/>
    <w:rsid w:val="00CA3F6B"/>
    <w:rsid w:val="00CA511C"/>
    <w:rsid w:val="00CA6471"/>
    <w:rsid w:val="00CA7564"/>
    <w:rsid w:val="00CA77C6"/>
    <w:rsid w:val="00CA7A98"/>
    <w:rsid w:val="00CB0B79"/>
    <w:rsid w:val="00CB0C90"/>
    <w:rsid w:val="00CB3658"/>
    <w:rsid w:val="00CB3E50"/>
    <w:rsid w:val="00CB4207"/>
    <w:rsid w:val="00CB4451"/>
    <w:rsid w:val="00CB549F"/>
    <w:rsid w:val="00CB57A5"/>
    <w:rsid w:val="00CB5991"/>
    <w:rsid w:val="00CB5AE1"/>
    <w:rsid w:val="00CB6092"/>
    <w:rsid w:val="00CB7189"/>
    <w:rsid w:val="00CB78EF"/>
    <w:rsid w:val="00CC000A"/>
    <w:rsid w:val="00CC02F3"/>
    <w:rsid w:val="00CC0E8E"/>
    <w:rsid w:val="00CC144E"/>
    <w:rsid w:val="00CC1543"/>
    <w:rsid w:val="00CC1625"/>
    <w:rsid w:val="00CC1883"/>
    <w:rsid w:val="00CC2057"/>
    <w:rsid w:val="00CC2481"/>
    <w:rsid w:val="00CC28A8"/>
    <w:rsid w:val="00CC2B45"/>
    <w:rsid w:val="00CC2BA6"/>
    <w:rsid w:val="00CC2DAC"/>
    <w:rsid w:val="00CC3526"/>
    <w:rsid w:val="00CC3790"/>
    <w:rsid w:val="00CC37D0"/>
    <w:rsid w:val="00CC3942"/>
    <w:rsid w:val="00CC3E40"/>
    <w:rsid w:val="00CC4276"/>
    <w:rsid w:val="00CC471C"/>
    <w:rsid w:val="00CC4731"/>
    <w:rsid w:val="00CC4821"/>
    <w:rsid w:val="00CC49F3"/>
    <w:rsid w:val="00CC54A2"/>
    <w:rsid w:val="00CC54CA"/>
    <w:rsid w:val="00CC5538"/>
    <w:rsid w:val="00CC586B"/>
    <w:rsid w:val="00CC63F7"/>
    <w:rsid w:val="00CC64CC"/>
    <w:rsid w:val="00CC6E07"/>
    <w:rsid w:val="00CC6FC6"/>
    <w:rsid w:val="00CC7A10"/>
    <w:rsid w:val="00CC7CB8"/>
    <w:rsid w:val="00CD00E9"/>
    <w:rsid w:val="00CD019A"/>
    <w:rsid w:val="00CD099F"/>
    <w:rsid w:val="00CD0E78"/>
    <w:rsid w:val="00CD13AA"/>
    <w:rsid w:val="00CD2587"/>
    <w:rsid w:val="00CD282E"/>
    <w:rsid w:val="00CD29B6"/>
    <w:rsid w:val="00CD29DB"/>
    <w:rsid w:val="00CD2C71"/>
    <w:rsid w:val="00CD30C9"/>
    <w:rsid w:val="00CD3820"/>
    <w:rsid w:val="00CD3898"/>
    <w:rsid w:val="00CD4A20"/>
    <w:rsid w:val="00CD55D4"/>
    <w:rsid w:val="00CD5BA9"/>
    <w:rsid w:val="00CD65EB"/>
    <w:rsid w:val="00CD6856"/>
    <w:rsid w:val="00CD6DE1"/>
    <w:rsid w:val="00CD7867"/>
    <w:rsid w:val="00CD7EAD"/>
    <w:rsid w:val="00CD7F58"/>
    <w:rsid w:val="00CE03A2"/>
    <w:rsid w:val="00CE04E5"/>
    <w:rsid w:val="00CE0542"/>
    <w:rsid w:val="00CE0A7D"/>
    <w:rsid w:val="00CE18D8"/>
    <w:rsid w:val="00CE210A"/>
    <w:rsid w:val="00CE22B8"/>
    <w:rsid w:val="00CE24D8"/>
    <w:rsid w:val="00CE2D03"/>
    <w:rsid w:val="00CE3904"/>
    <w:rsid w:val="00CE3AA2"/>
    <w:rsid w:val="00CE3B8E"/>
    <w:rsid w:val="00CE3D05"/>
    <w:rsid w:val="00CE4591"/>
    <w:rsid w:val="00CE4A48"/>
    <w:rsid w:val="00CE4C57"/>
    <w:rsid w:val="00CE4E1B"/>
    <w:rsid w:val="00CE55F0"/>
    <w:rsid w:val="00CE59C1"/>
    <w:rsid w:val="00CE5EC6"/>
    <w:rsid w:val="00CE670C"/>
    <w:rsid w:val="00CE6BF4"/>
    <w:rsid w:val="00CE6E01"/>
    <w:rsid w:val="00CE7E5B"/>
    <w:rsid w:val="00CF1078"/>
    <w:rsid w:val="00CF11B0"/>
    <w:rsid w:val="00CF136B"/>
    <w:rsid w:val="00CF1BF7"/>
    <w:rsid w:val="00CF26B2"/>
    <w:rsid w:val="00CF26CB"/>
    <w:rsid w:val="00CF2758"/>
    <w:rsid w:val="00CF2D35"/>
    <w:rsid w:val="00CF2EEB"/>
    <w:rsid w:val="00CF3F6F"/>
    <w:rsid w:val="00CF3FB5"/>
    <w:rsid w:val="00CF4266"/>
    <w:rsid w:val="00CF4303"/>
    <w:rsid w:val="00CF44A0"/>
    <w:rsid w:val="00CF47AF"/>
    <w:rsid w:val="00CF48CA"/>
    <w:rsid w:val="00CF5471"/>
    <w:rsid w:val="00CF55B7"/>
    <w:rsid w:val="00CF5636"/>
    <w:rsid w:val="00CF5A51"/>
    <w:rsid w:val="00CF5CEB"/>
    <w:rsid w:val="00CF5FE4"/>
    <w:rsid w:val="00CF6670"/>
    <w:rsid w:val="00CF68C5"/>
    <w:rsid w:val="00D002AD"/>
    <w:rsid w:val="00D0080E"/>
    <w:rsid w:val="00D00A1A"/>
    <w:rsid w:val="00D00AEB"/>
    <w:rsid w:val="00D00D22"/>
    <w:rsid w:val="00D01438"/>
    <w:rsid w:val="00D016B0"/>
    <w:rsid w:val="00D01A90"/>
    <w:rsid w:val="00D01B55"/>
    <w:rsid w:val="00D02097"/>
    <w:rsid w:val="00D02131"/>
    <w:rsid w:val="00D023FF"/>
    <w:rsid w:val="00D0257D"/>
    <w:rsid w:val="00D027EF"/>
    <w:rsid w:val="00D02913"/>
    <w:rsid w:val="00D038EA"/>
    <w:rsid w:val="00D03B37"/>
    <w:rsid w:val="00D03E9B"/>
    <w:rsid w:val="00D044C5"/>
    <w:rsid w:val="00D0453B"/>
    <w:rsid w:val="00D04659"/>
    <w:rsid w:val="00D048EB"/>
    <w:rsid w:val="00D056F1"/>
    <w:rsid w:val="00D05E60"/>
    <w:rsid w:val="00D0616C"/>
    <w:rsid w:val="00D0666F"/>
    <w:rsid w:val="00D06933"/>
    <w:rsid w:val="00D06B18"/>
    <w:rsid w:val="00D0716B"/>
    <w:rsid w:val="00D07D2C"/>
    <w:rsid w:val="00D07EA8"/>
    <w:rsid w:val="00D1014D"/>
    <w:rsid w:val="00D10316"/>
    <w:rsid w:val="00D103D8"/>
    <w:rsid w:val="00D11352"/>
    <w:rsid w:val="00D118D5"/>
    <w:rsid w:val="00D123D3"/>
    <w:rsid w:val="00D128FA"/>
    <w:rsid w:val="00D12B0C"/>
    <w:rsid w:val="00D12E58"/>
    <w:rsid w:val="00D1311F"/>
    <w:rsid w:val="00D1341A"/>
    <w:rsid w:val="00D13549"/>
    <w:rsid w:val="00D13DFC"/>
    <w:rsid w:val="00D1421E"/>
    <w:rsid w:val="00D142DD"/>
    <w:rsid w:val="00D14673"/>
    <w:rsid w:val="00D14D6D"/>
    <w:rsid w:val="00D1539F"/>
    <w:rsid w:val="00D15676"/>
    <w:rsid w:val="00D15903"/>
    <w:rsid w:val="00D15AF4"/>
    <w:rsid w:val="00D17E15"/>
    <w:rsid w:val="00D17E29"/>
    <w:rsid w:val="00D204A4"/>
    <w:rsid w:val="00D205A0"/>
    <w:rsid w:val="00D2088F"/>
    <w:rsid w:val="00D20B8F"/>
    <w:rsid w:val="00D20ECF"/>
    <w:rsid w:val="00D20EDC"/>
    <w:rsid w:val="00D21469"/>
    <w:rsid w:val="00D216CD"/>
    <w:rsid w:val="00D21D39"/>
    <w:rsid w:val="00D21FFE"/>
    <w:rsid w:val="00D22367"/>
    <w:rsid w:val="00D2254F"/>
    <w:rsid w:val="00D22722"/>
    <w:rsid w:val="00D23595"/>
    <w:rsid w:val="00D236CB"/>
    <w:rsid w:val="00D23B4B"/>
    <w:rsid w:val="00D24714"/>
    <w:rsid w:val="00D24E37"/>
    <w:rsid w:val="00D24FEE"/>
    <w:rsid w:val="00D2660E"/>
    <w:rsid w:val="00D26ECA"/>
    <w:rsid w:val="00D278AE"/>
    <w:rsid w:val="00D27C05"/>
    <w:rsid w:val="00D30188"/>
    <w:rsid w:val="00D3061B"/>
    <w:rsid w:val="00D30707"/>
    <w:rsid w:val="00D30ADA"/>
    <w:rsid w:val="00D30BD3"/>
    <w:rsid w:val="00D30F9F"/>
    <w:rsid w:val="00D31236"/>
    <w:rsid w:val="00D318F0"/>
    <w:rsid w:val="00D31E4E"/>
    <w:rsid w:val="00D339B0"/>
    <w:rsid w:val="00D33A9C"/>
    <w:rsid w:val="00D33BD4"/>
    <w:rsid w:val="00D340C9"/>
    <w:rsid w:val="00D346BF"/>
    <w:rsid w:val="00D348B1"/>
    <w:rsid w:val="00D34EC7"/>
    <w:rsid w:val="00D34F8B"/>
    <w:rsid w:val="00D35517"/>
    <w:rsid w:val="00D35802"/>
    <w:rsid w:val="00D35A28"/>
    <w:rsid w:val="00D35B03"/>
    <w:rsid w:val="00D35C1A"/>
    <w:rsid w:val="00D36319"/>
    <w:rsid w:val="00D3634F"/>
    <w:rsid w:val="00D3639E"/>
    <w:rsid w:val="00D36898"/>
    <w:rsid w:val="00D36E99"/>
    <w:rsid w:val="00D37F80"/>
    <w:rsid w:val="00D40060"/>
    <w:rsid w:val="00D40516"/>
    <w:rsid w:val="00D40629"/>
    <w:rsid w:val="00D40F35"/>
    <w:rsid w:val="00D4172E"/>
    <w:rsid w:val="00D41B84"/>
    <w:rsid w:val="00D41ECE"/>
    <w:rsid w:val="00D41F2E"/>
    <w:rsid w:val="00D4206F"/>
    <w:rsid w:val="00D42463"/>
    <w:rsid w:val="00D42D44"/>
    <w:rsid w:val="00D42DBA"/>
    <w:rsid w:val="00D42DC0"/>
    <w:rsid w:val="00D43A4A"/>
    <w:rsid w:val="00D43ED8"/>
    <w:rsid w:val="00D4406B"/>
    <w:rsid w:val="00D441B0"/>
    <w:rsid w:val="00D4434A"/>
    <w:rsid w:val="00D4474E"/>
    <w:rsid w:val="00D447ED"/>
    <w:rsid w:val="00D44CDC"/>
    <w:rsid w:val="00D45543"/>
    <w:rsid w:val="00D45E5F"/>
    <w:rsid w:val="00D46AC2"/>
    <w:rsid w:val="00D46CC7"/>
    <w:rsid w:val="00D470B7"/>
    <w:rsid w:val="00D47810"/>
    <w:rsid w:val="00D47C63"/>
    <w:rsid w:val="00D501D2"/>
    <w:rsid w:val="00D504A8"/>
    <w:rsid w:val="00D50582"/>
    <w:rsid w:val="00D50C7D"/>
    <w:rsid w:val="00D50FA2"/>
    <w:rsid w:val="00D512E2"/>
    <w:rsid w:val="00D5191C"/>
    <w:rsid w:val="00D51A3E"/>
    <w:rsid w:val="00D51A48"/>
    <w:rsid w:val="00D5229C"/>
    <w:rsid w:val="00D52AFD"/>
    <w:rsid w:val="00D52CEB"/>
    <w:rsid w:val="00D53D4D"/>
    <w:rsid w:val="00D5426C"/>
    <w:rsid w:val="00D54B61"/>
    <w:rsid w:val="00D54E11"/>
    <w:rsid w:val="00D550A1"/>
    <w:rsid w:val="00D558C7"/>
    <w:rsid w:val="00D565E8"/>
    <w:rsid w:val="00D56E19"/>
    <w:rsid w:val="00D57091"/>
    <w:rsid w:val="00D5714C"/>
    <w:rsid w:val="00D571B8"/>
    <w:rsid w:val="00D574B6"/>
    <w:rsid w:val="00D57ACA"/>
    <w:rsid w:val="00D57ACE"/>
    <w:rsid w:val="00D60AD4"/>
    <w:rsid w:val="00D60F62"/>
    <w:rsid w:val="00D61036"/>
    <w:rsid w:val="00D6278A"/>
    <w:rsid w:val="00D62EB3"/>
    <w:rsid w:val="00D62FAA"/>
    <w:rsid w:val="00D631E3"/>
    <w:rsid w:val="00D6393B"/>
    <w:rsid w:val="00D63D10"/>
    <w:rsid w:val="00D63F6E"/>
    <w:rsid w:val="00D64197"/>
    <w:rsid w:val="00D6437F"/>
    <w:rsid w:val="00D6508A"/>
    <w:rsid w:val="00D656E9"/>
    <w:rsid w:val="00D6581D"/>
    <w:rsid w:val="00D666AF"/>
    <w:rsid w:val="00D6692B"/>
    <w:rsid w:val="00D67526"/>
    <w:rsid w:val="00D678D3"/>
    <w:rsid w:val="00D67CC1"/>
    <w:rsid w:val="00D711A3"/>
    <w:rsid w:val="00D71BC4"/>
    <w:rsid w:val="00D71D6D"/>
    <w:rsid w:val="00D72170"/>
    <w:rsid w:val="00D73439"/>
    <w:rsid w:val="00D7388B"/>
    <w:rsid w:val="00D738D0"/>
    <w:rsid w:val="00D73B00"/>
    <w:rsid w:val="00D74775"/>
    <w:rsid w:val="00D74E45"/>
    <w:rsid w:val="00D75581"/>
    <w:rsid w:val="00D777CB"/>
    <w:rsid w:val="00D80723"/>
    <w:rsid w:val="00D8081C"/>
    <w:rsid w:val="00D80E34"/>
    <w:rsid w:val="00D80EF7"/>
    <w:rsid w:val="00D81867"/>
    <w:rsid w:val="00D818D7"/>
    <w:rsid w:val="00D81A85"/>
    <w:rsid w:val="00D82454"/>
    <w:rsid w:val="00D825C9"/>
    <w:rsid w:val="00D828C2"/>
    <w:rsid w:val="00D83107"/>
    <w:rsid w:val="00D8368E"/>
    <w:rsid w:val="00D836C4"/>
    <w:rsid w:val="00D83CA6"/>
    <w:rsid w:val="00D83E10"/>
    <w:rsid w:val="00D84734"/>
    <w:rsid w:val="00D849C3"/>
    <w:rsid w:val="00D849C7"/>
    <w:rsid w:val="00D8550D"/>
    <w:rsid w:val="00D86188"/>
    <w:rsid w:val="00D87226"/>
    <w:rsid w:val="00D874A0"/>
    <w:rsid w:val="00D87768"/>
    <w:rsid w:val="00D87D9F"/>
    <w:rsid w:val="00D904E8"/>
    <w:rsid w:val="00D90583"/>
    <w:rsid w:val="00D90AC7"/>
    <w:rsid w:val="00D90D88"/>
    <w:rsid w:val="00D90D9D"/>
    <w:rsid w:val="00D9151F"/>
    <w:rsid w:val="00D918B4"/>
    <w:rsid w:val="00D91BCA"/>
    <w:rsid w:val="00D91C88"/>
    <w:rsid w:val="00D92D90"/>
    <w:rsid w:val="00D93EC0"/>
    <w:rsid w:val="00D93FE2"/>
    <w:rsid w:val="00D95785"/>
    <w:rsid w:val="00D95AC2"/>
    <w:rsid w:val="00D95D67"/>
    <w:rsid w:val="00D9624B"/>
    <w:rsid w:val="00D96BE7"/>
    <w:rsid w:val="00DA0168"/>
    <w:rsid w:val="00DA1A44"/>
    <w:rsid w:val="00DA2289"/>
    <w:rsid w:val="00DA234A"/>
    <w:rsid w:val="00DA2FCA"/>
    <w:rsid w:val="00DA31F3"/>
    <w:rsid w:val="00DA3CC2"/>
    <w:rsid w:val="00DA3F17"/>
    <w:rsid w:val="00DA515B"/>
    <w:rsid w:val="00DA554B"/>
    <w:rsid w:val="00DA6131"/>
    <w:rsid w:val="00DA6587"/>
    <w:rsid w:val="00DA66B6"/>
    <w:rsid w:val="00DA6830"/>
    <w:rsid w:val="00DA6DB3"/>
    <w:rsid w:val="00DA7A46"/>
    <w:rsid w:val="00DA7B8B"/>
    <w:rsid w:val="00DA7BAB"/>
    <w:rsid w:val="00DA7E19"/>
    <w:rsid w:val="00DB000B"/>
    <w:rsid w:val="00DB07A6"/>
    <w:rsid w:val="00DB088A"/>
    <w:rsid w:val="00DB0DBE"/>
    <w:rsid w:val="00DB10B3"/>
    <w:rsid w:val="00DB1385"/>
    <w:rsid w:val="00DB145C"/>
    <w:rsid w:val="00DB1530"/>
    <w:rsid w:val="00DB1821"/>
    <w:rsid w:val="00DB22C8"/>
    <w:rsid w:val="00DB2A3E"/>
    <w:rsid w:val="00DB2A76"/>
    <w:rsid w:val="00DB2FE2"/>
    <w:rsid w:val="00DB39FD"/>
    <w:rsid w:val="00DB3E68"/>
    <w:rsid w:val="00DB4201"/>
    <w:rsid w:val="00DB4602"/>
    <w:rsid w:val="00DB4AEE"/>
    <w:rsid w:val="00DB52FB"/>
    <w:rsid w:val="00DB54B3"/>
    <w:rsid w:val="00DB70E5"/>
    <w:rsid w:val="00DB72E0"/>
    <w:rsid w:val="00DB7C0A"/>
    <w:rsid w:val="00DB7F89"/>
    <w:rsid w:val="00DC0439"/>
    <w:rsid w:val="00DC07DD"/>
    <w:rsid w:val="00DC0864"/>
    <w:rsid w:val="00DC1A81"/>
    <w:rsid w:val="00DC2923"/>
    <w:rsid w:val="00DC2C8F"/>
    <w:rsid w:val="00DC310A"/>
    <w:rsid w:val="00DC3BE2"/>
    <w:rsid w:val="00DC46B8"/>
    <w:rsid w:val="00DC4E2D"/>
    <w:rsid w:val="00DC534B"/>
    <w:rsid w:val="00DC5673"/>
    <w:rsid w:val="00DC7050"/>
    <w:rsid w:val="00DC7981"/>
    <w:rsid w:val="00DD0D0C"/>
    <w:rsid w:val="00DD0D2F"/>
    <w:rsid w:val="00DD0E9E"/>
    <w:rsid w:val="00DD14F5"/>
    <w:rsid w:val="00DD1A2A"/>
    <w:rsid w:val="00DD22DB"/>
    <w:rsid w:val="00DD2845"/>
    <w:rsid w:val="00DD2AEC"/>
    <w:rsid w:val="00DD2B72"/>
    <w:rsid w:val="00DD2F76"/>
    <w:rsid w:val="00DD3512"/>
    <w:rsid w:val="00DD3B70"/>
    <w:rsid w:val="00DD4250"/>
    <w:rsid w:val="00DD515A"/>
    <w:rsid w:val="00DD5489"/>
    <w:rsid w:val="00DD56C9"/>
    <w:rsid w:val="00DD5828"/>
    <w:rsid w:val="00DD5BE8"/>
    <w:rsid w:val="00DD60F1"/>
    <w:rsid w:val="00DD6929"/>
    <w:rsid w:val="00DD75AF"/>
    <w:rsid w:val="00DD7B85"/>
    <w:rsid w:val="00DE02F1"/>
    <w:rsid w:val="00DE036C"/>
    <w:rsid w:val="00DE0683"/>
    <w:rsid w:val="00DE0A0E"/>
    <w:rsid w:val="00DE1B85"/>
    <w:rsid w:val="00DE1D49"/>
    <w:rsid w:val="00DE1E26"/>
    <w:rsid w:val="00DE2046"/>
    <w:rsid w:val="00DE2254"/>
    <w:rsid w:val="00DE25CA"/>
    <w:rsid w:val="00DE2B0F"/>
    <w:rsid w:val="00DE2FC7"/>
    <w:rsid w:val="00DE3A82"/>
    <w:rsid w:val="00DE3E5F"/>
    <w:rsid w:val="00DE408A"/>
    <w:rsid w:val="00DE4958"/>
    <w:rsid w:val="00DE4BBE"/>
    <w:rsid w:val="00DE54DB"/>
    <w:rsid w:val="00DE5A59"/>
    <w:rsid w:val="00DE64E1"/>
    <w:rsid w:val="00DE662C"/>
    <w:rsid w:val="00DE6EB4"/>
    <w:rsid w:val="00DE7691"/>
    <w:rsid w:val="00DE7E5C"/>
    <w:rsid w:val="00DE7F24"/>
    <w:rsid w:val="00DE7FC0"/>
    <w:rsid w:val="00DE7FC3"/>
    <w:rsid w:val="00DF0B6C"/>
    <w:rsid w:val="00DF0DE3"/>
    <w:rsid w:val="00DF0ED5"/>
    <w:rsid w:val="00DF0FCA"/>
    <w:rsid w:val="00DF12B8"/>
    <w:rsid w:val="00DF15BB"/>
    <w:rsid w:val="00DF1733"/>
    <w:rsid w:val="00DF1ADA"/>
    <w:rsid w:val="00DF22C0"/>
    <w:rsid w:val="00DF3066"/>
    <w:rsid w:val="00DF3149"/>
    <w:rsid w:val="00DF35AF"/>
    <w:rsid w:val="00DF42E4"/>
    <w:rsid w:val="00DF4809"/>
    <w:rsid w:val="00DF4AB0"/>
    <w:rsid w:val="00DF4CC4"/>
    <w:rsid w:val="00DF52CD"/>
    <w:rsid w:val="00DF534A"/>
    <w:rsid w:val="00DF552B"/>
    <w:rsid w:val="00DF6083"/>
    <w:rsid w:val="00DF64F1"/>
    <w:rsid w:val="00DF688A"/>
    <w:rsid w:val="00DF7191"/>
    <w:rsid w:val="00DF7ED9"/>
    <w:rsid w:val="00E004E0"/>
    <w:rsid w:val="00E00AD4"/>
    <w:rsid w:val="00E00E0E"/>
    <w:rsid w:val="00E01283"/>
    <w:rsid w:val="00E016B6"/>
    <w:rsid w:val="00E01D34"/>
    <w:rsid w:val="00E0201F"/>
    <w:rsid w:val="00E023B4"/>
    <w:rsid w:val="00E02483"/>
    <w:rsid w:val="00E02DB3"/>
    <w:rsid w:val="00E030C1"/>
    <w:rsid w:val="00E033FB"/>
    <w:rsid w:val="00E044D3"/>
    <w:rsid w:val="00E04931"/>
    <w:rsid w:val="00E05262"/>
    <w:rsid w:val="00E0574B"/>
    <w:rsid w:val="00E05777"/>
    <w:rsid w:val="00E05BAF"/>
    <w:rsid w:val="00E05D85"/>
    <w:rsid w:val="00E064E3"/>
    <w:rsid w:val="00E065DD"/>
    <w:rsid w:val="00E06BCB"/>
    <w:rsid w:val="00E06BF6"/>
    <w:rsid w:val="00E06C4A"/>
    <w:rsid w:val="00E0749E"/>
    <w:rsid w:val="00E07EBB"/>
    <w:rsid w:val="00E07F67"/>
    <w:rsid w:val="00E10528"/>
    <w:rsid w:val="00E11FEA"/>
    <w:rsid w:val="00E12CB8"/>
    <w:rsid w:val="00E13AAA"/>
    <w:rsid w:val="00E145BA"/>
    <w:rsid w:val="00E146CA"/>
    <w:rsid w:val="00E1475F"/>
    <w:rsid w:val="00E14C57"/>
    <w:rsid w:val="00E1537D"/>
    <w:rsid w:val="00E158DD"/>
    <w:rsid w:val="00E15DB7"/>
    <w:rsid w:val="00E15F37"/>
    <w:rsid w:val="00E16154"/>
    <w:rsid w:val="00E16428"/>
    <w:rsid w:val="00E167EE"/>
    <w:rsid w:val="00E1787F"/>
    <w:rsid w:val="00E20278"/>
    <w:rsid w:val="00E2039D"/>
    <w:rsid w:val="00E20400"/>
    <w:rsid w:val="00E20D73"/>
    <w:rsid w:val="00E2174E"/>
    <w:rsid w:val="00E21BD1"/>
    <w:rsid w:val="00E22188"/>
    <w:rsid w:val="00E226CE"/>
    <w:rsid w:val="00E22B51"/>
    <w:rsid w:val="00E22C44"/>
    <w:rsid w:val="00E22D31"/>
    <w:rsid w:val="00E22ED2"/>
    <w:rsid w:val="00E233E7"/>
    <w:rsid w:val="00E23442"/>
    <w:rsid w:val="00E23B2F"/>
    <w:rsid w:val="00E23DEC"/>
    <w:rsid w:val="00E23E3D"/>
    <w:rsid w:val="00E23ED8"/>
    <w:rsid w:val="00E249C0"/>
    <w:rsid w:val="00E25A8D"/>
    <w:rsid w:val="00E27F6C"/>
    <w:rsid w:val="00E3033E"/>
    <w:rsid w:val="00E30598"/>
    <w:rsid w:val="00E30908"/>
    <w:rsid w:val="00E30E3E"/>
    <w:rsid w:val="00E31644"/>
    <w:rsid w:val="00E3188C"/>
    <w:rsid w:val="00E328D5"/>
    <w:rsid w:val="00E33AE5"/>
    <w:rsid w:val="00E3434A"/>
    <w:rsid w:val="00E343BB"/>
    <w:rsid w:val="00E34C66"/>
    <w:rsid w:val="00E358E3"/>
    <w:rsid w:val="00E358F5"/>
    <w:rsid w:val="00E35C5C"/>
    <w:rsid w:val="00E3798E"/>
    <w:rsid w:val="00E37D87"/>
    <w:rsid w:val="00E37F5B"/>
    <w:rsid w:val="00E40178"/>
    <w:rsid w:val="00E40A50"/>
    <w:rsid w:val="00E411D1"/>
    <w:rsid w:val="00E41659"/>
    <w:rsid w:val="00E41B74"/>
    <w:rsid w:val="00E41C18"/>
    <w:rsid w:val="00E41FA5"/>
    <w:rsid w:val="00E42FAC"/>
    <w:rsid w:val="00E433E8"/>
    <w:rsid w:val="00E43718"/>
    <w:rsid w:val="00E43835"/>
    <w:rsid w:val="00E43F95"/>
    <w:rsid w:val="00E44002"/>
    <w:rsid w:val="00E44328"/>
    <w:rsid w:val="00E44560"/>
    <w:rsid w:val="00E448A2"/>
    <w:rsid w:val="00E45D89"/>
    <w:rsid w:val="00E4672C"/>
    <w:rsid w:val="00E47454"/>
    <w:rsid w:val="00E4748D"/>
    <w:rsid w:val="00E47A18"/>
    <w:rsid w:val="00E5027C"/>
    <w:rsid w:val="00E50913"/>
    <w:rsid w:val="00E50950"/>
    <w:rsid w:val="00E51215"/>
    <w:rsid w:val="00E51610"/>
    <w:rsid w:val="00E51BC9"/>
    <w:rsid w:val="00E525EB"/>
    <w:rsid w:val="00E52B51"/>
    <w:rsid w:val="00E52D8A"/>
    <w:rsid w:val="00E542F0"/>
    <w:rsid w:val="00E54A63"/>
    <w:rsid w:val="00E553C8"/>
    <w:rsid w:val="00E559B9"/>
    <w:rsid w:val="00E55DBA"/>
    <w:rsid w:val="00E564B3"/>
    <w:rsid w:val="00E573CD"/>
    <w:rsid w:val="00E57735"/>
    <w:rsid w:val="00E57868"/>
    <w:rsid w:val="00E578CE"/>
    <w:rsid w:val="00E60635"/>
    <w:rsid w:val="00E607CB"/>
    <w:rsid w:val="00E609E2"/>
    <w:rsid w:val="00E610B5"/>
    <w:rsid w:val="00E611EA"/>
    <w:rsid w:val="00E613C8"/>
    <w:rsid w:val="00E613CB"/>
    <w:rsid w:val="00E619EF"/>
    <w:rsid w:val="00E61A68"/>
    <w:rsid w:val="00E6263F"/>
    <w:rsid w:val="00E6284C"/>
    <w:rsid w:val="00E62946"/>
    <w:rsid w:val="00E62F3E"/>
    <w:rsid w:val="00E633CF"/>
    <w:rsid w:val="00E634EA"/>
    <w:rsid w:val="00E634F4"/>
    <w:rsid w:val="00E647A0"/>
    <w:rsid w:val="00E64C30"/>
    <w:rsid w:val="00E64FD0"/>
    <w:rsid w:val="00E6516F"/>
    <w:rsid w:val="00E652F6"/>
    <w:rsid w:val="00E6569C"/>
    <w:rsid w:val="00E65949"/>
    <w:rsid w:val="00E66131"/>
    <w:rsid w:val="00E665A2"/>
    <w:rsid w:val="00E66688"/>
    <w:rsid w:val="00E66FC9"/>
    <w:rsid w:val="00E677B6"/>
    <w:rsid w:val="00E702E6"/>
    <w:rsid w:val="00E7090A"/>
    <w:rsid w:val="00E70ED5"/>
    <w:rsid w:val="00E71656"/>
    <w:rsid w:val="00E718F1"/>
    <w:rsid w:val="00E7196A"/>
    <w:rsid w:val="00E71A12"/>
    <w:rsid w:val="00E71AB7"/>
    <w:rsid w:val="00E72010"/>
    <w:rsid w:val="00E72A72"/>
    <w:rsid w:val="00E72DEF"/>
    <w:rsid w:val="00E73BBF"/>
    <w:rsid w:val="00E74E62"/>
    <w:rsid w:val="00E752ED"/>
    <w:rsid w:val="00E7577B"/>
    <w:rsid w:val="00E7598E"/>
    <w:rsid w:val="00E75D1D"/>
    <w:rsid w:val="00E760E5"/>
    <w:rsid w:val="00E764BD"/>
    <w:rsid w:val="00E77097"/>
    <w:rsid w:val="00E7766A"/>
    <w:rsid w:val="00E77AB6"/>
    <w:rsid w:val="00E803C3"/>
    <w:rsid w:val="00E8047D"/>
    <w:rsid w:val="00E810D7"/>
    <w:rsid w:val="00E8181A"/>
    <w:rsid w:val="00E82537"/>
    <w:rsid w:val="00E82FD6"/>
    <w:rsid w:val="00E82FF7"/>
    <w:rsid w:val="00E836F5"/>
    <w:rsid w:val="00E83719"/>
    <w:rsid w:val="00E84088"/>
    <w:rsid w:val="00E84379"/>
    <w:rsid w:val="00E8509C"/>
    <w:rsid w:val="00E86BA5"/>
    <w:rsid w:val="00E8707A"/>
    <w:rsid w:val="00E8751F"/>
    <w:rsid w:val="00E905EC"/>
    <w:rsid w:val="00E9151C"/>
    <w:rsid w:val="00E915FD"/>
    <w:rsid w:val="00E91819"/>
    <w:rsid w:val="00E91A80"/>
    <w:rsid w:val="00E91BE5"/>
    <w:rsid w:val="00E91F6A"/>
    <w:rsid w:val="00E92489"/>
    <w:rsid w:val="00E92B80"/>
    <w:rsid w:val="00E92F7E"/>
    <w:rsid w:val="00E93324"/>
    <w:rsid w:val="00E93561"/>
    <w:rsid w:val="00E936E5"/>
    <w:rsid w:val="00E93DF8"/>
    <w:rsid w:val="00E93EEA"/>
    <w:rsid w:val="00E941D8"/>
    <w:rsid w:val="00E947F1"/>
    <w:rsid w:val="00E94F71"/>
    <w:rsid w:val="00E9511E"/>
    <w:rsid w:val="00E9515D"/>
    <w:rsid w:val="00E95300"/>
    <w:rsid w:val="00E9600A"/>
    <w:rsid w:val="00E96470"/>
    <w:rsid w:val="00E965A0"/>
    <w:rsid w:val="00E97BB3"/>
    <w:rsid w:val="00EA0011"/>
    <w:rsid w:val="00EA038D"/>
    <w:rsid w:val="00EA0A42"/>
    <w:rsid w:val="00EA1D2D"/>
    <w:rsid w:val="00EA21D9"/>
    <w:rsid w:val="00EA28DB"/>
    <w:rsid w:val="00EA2A41"/>
    <w:rsid w:val="00EA2A48"/>
    <w:rsid w:val="00EA346D"/>
    <w:rsid w:val="00EA3532"/>
    <w:rsid w:val="00EA3629"/>
    <w:rsid w:val="00EA3934"/>
    <w:rsid w:val="00EA3BDC"/>
    <w:rsid w:val="00EA43C6"/>
    <w:rsid w:val="00EA45E7"/>
    <w:rsid w:val="00EA46C5"/>
    <w:rsid w:val="00EA48DC"/>
    <w:rsid w:val="00EA4B70"/>
    <w:rsid w:val="00EA51AC"/>
    <w:rsid w:val="00EA51B3"/>
    <w:rsid w:val="00EA53E1"/>
    <w:rsid w:val="00EA54D9"/>
    <w:rsid w:val="00EA5BD9"/>
    <w:rsid w:val="00EA6229"/>
    <w:rsid w:val="00EA6333"/>
    <w:rsid w:val="00EA688D"/>
    <w:rsid w:val="00EA69C4"/>
    <w:rsid w:val="00EA7226"/>
    <w:rsid w:val="00EA728C"/>
    <w:rsid w:val="00EA7D1D"/>
    <w:rsid w:val="00EA7F28"/>
    <w:rsid w:val="00EB040E"/>
    <w:rsid w:val="00EB0F0A"/>
    <w:rsid w:val="00EB1060"/>
    <w:rsid w:val="00EB11D2"/>
    <w:rsid w:val="00EB17B3"/>
    <w:rsid w:val="00EB22B2"/>
    <w:rsid w:val="00EB2C5B"/>
    <w:rsid w:val="00EB34F7"/>
    <w:rsid w:val="00EB360F"/>
    <w:rsid w:val="00EB3746"/>
    <w:rsid w:val="00EB3805"/>
    <w:rsid w:val="00EB3B2E"/>
    <w:rsid w:val="00EB3C8F"/>
    <w:rsid w:val="00EB498C"/>
    <w:rsid w:val="00EB4AE1"/>
    <w:rsid w:val="00EB4ED4"/>
    <w:rsid w:val="00EB5538"/>
    <w:rsid w:val="00EB5BB2"/>
    <w:rsid w:val="00EB5BE7"/>
    <w:rsid w:val="00EB6283"/>
    <w:rsid w:val="00EB64D8"/>
    <w:rsid w:val="00EB66E5"/>
    <w:rsid w:val="00EB7073"/>
    <w:rsid w:val="00EB7172"/>
    <w:rsid w:val="00EB73F1"/>
    <w:rsid w:val="00EB7878"/>
    <w:rsid w:val="00EB788C"/>
    <w:rsid w:val="00EB7FD1"/>
    <w:rsid w:val="00EC02E0"/>
    <w:rsid w:val="00EC083D"/>
    <w:rsid w:val="00EC0886"/>
    <w:rsid w:val="00EC08A3"/>
    <w:rsid w:val="00EC1186"/>
    <w:rsid w:val="00EC12A2"/>
    <w:rsid w:val="00EC1FF3"/>
    <w:rsid w:val="00EC230C"/>
    <w:rsid w:val="00EC443B"/>
    <w:rsid w:val="00EC4E9B"/>
    <w:rsid w:val="00EC4FCD"/>
    <w:rsid w:val="00EC513D"/>
    <w:rsid w:val="00EC5831"/>
    <w:rsid w:val="00EC65FC"/>
    <w:rsid w:val="00EC6638"/>
    <w:rsid w:val="00EC7021"/>
    <w:rsid w:val="00EC7258"/>
    <w:rsid w:val="00EC76E3"/>
    <w:rsid w:val="00EC797E"/>
    <w:rsid w:val="00EC7E23"/>
    <w:rsid w:val="00ED01A7"/>
    <w:rsid w:val="00ED0DF9"/>
    <w:rsid w:val="00ED1263"/>
    <w:rsid w:val="00ED378D"/>
    <w:rsid w:val="00ED3C82"/>
    <w:rsid w:val="00ED3F47"/>
    <w:rsid w:val="00ED3F87"/>
    <w:rsid w:val="00ED3FA9"/>
    <w:rsid w:val="00ED571E"/>
    <w:rsid w:val="00ED5CA9"/>
    <w:rsid w:val="00ED5D42"/>
    <w:rsid w:val="00ED6111"/>
    <w:rsid w:val="00ED615C"/>
    <w:rsid w:val="00ED6357"/>
    <w:rsid w:val="00ED6628"/>
    <w:rsid w:val="00ED6816"/>
    <w:rsid w:val="00ED69C5"/>
    <w:rsid w:val="00ED708C"/>
    <w:rsid w:val="00ED72B0"/>
    <w:rsid w:val="00ED7A58"/>
    <w:rsid w:val="00ED7B80"/>
    <w:rsid w:val="00ED7F0F"/>
    <w:rsid w:val="00EE00DB"/>
    <w:rsid w:val="00EE04E7"/>
    <w:rsid w:val="00EE05D6"/>
    <w:rsid w:val="00EE0F67"/>
    <w:rsid w:val="00EE1AF4"/>
    <w:rsid w:val="00EE1E3A"/>
    <w:rsid w:val="00EE1E4E"/>
    <w:rsid w:val="00EE1EB7"/>
    <w:rsid w:val="00EE20D3"/>
    <w:rsid w:val="00EE214E"/>
    <w:rsid w:val="00EE29CE"/>
    <w:rsid w:val="00EE32B3"/>
    <w:rsid w:val="00EE3963"/>
    <w:rsid w:val="00EE40CB"/>
    <w:rsid w:val="00EE4161"/>
    <w:rsid w:val="00EE47F4"/>
    <w:rsid w:val="00EE4D2D"/>
    <w:rsid w:val="00EE4DF9"/>
    <w:rsid w:val="00EE4ED5"/>
    <w:rsid w:val="00EE5398"/>
    <w:rsid w:val="00EE5482"/>
    <w:rsid w:val="00EE566C"/>
    <w:rsid w:val="00EE5739"/>
    <w:rsid w:val="00EE5C8E"/>
    <w:rsid w:val="00EE65E7"/>
    <w:rsid w:val="00EE6804"/>
    <w:rsid w:val="00EE6A87"/>
    <w:rsid w:val="00EE71CA"/>
    <w:rsid w:val="00EE7263"/>
    <w:rsid w:val="00EE74FF"/>
    <w:rsid w:val="00EE7742"/>
    <w:rsid w:val="00EF0138"/>
    <w:rsid w:val="00EF06D4"/>
    <w:rsid w:val="00EF0AEE"/>
    <w:rsid w:val="00EF0BA6"/>
    <w:rsid w:val="00EF0C93"/>
    <w:rsid w:val="00EF0E08"/>
    <w:rsid w:val="00EF11DB"/>
    <w:rsid w:val="00EF1776"/>
    <w:rsid w:val="00EF17D6"/>
    <w:rsid w:val="00EF1C9C"/>
    <w:rsid w:val="00EF1DEE"/>
    <w:rsid w:val="00EF1E15"/>
    <w:rsid w:val="00EF2769"/>
    <w:rsid w:val="00EF2971"/>
    <w:rsid w:val="00EF2C08"/>
    <w:rsid w:val="00EF301A"/>
    <w:rsid w:val="00EF3573"/>
    <w:rsid w:val="00EF37E4"/>
    <w:rsid w:val="00EF3D5A"/>
    <w:rsid w:val="00EF49AD"/>
    <w:rsid w:val="00EF4F7C"/>
    <w:rsid w:val="00EF5D3C"/>
    <w:rsid w:val="00EF5ECD"/>
    <w:rsid w:val="00EF6390"/>
    <w:rsid w:val="00EF6B0D"/>
    <w:rsid w:val="00EF6C7B"/>
    <w:rsid w:val="00EF6D43"/>
    <w:rsid w:val="00EF7570"/>
    <w:rsid w:val="00EF7939"/>
    <w:rsid w:val="00F002A0"/>
    <w:rsid w:val="00F0043B"/>
    <w:rsid w:val="00F00519"/>
    <w:rsid w:val="00F00708"/>
    <w:rsid w:val="00F009EA"/>
    <w:rsid w:val="00F0113F"/>
    <w:rsid w:val="00F01C8E"/>
    <w:rsid w:val="00F02456"/>
    <w:rsid w:val="00F02C08"/>
    <w:rsid w:val="00F02E37"/>
    <w:rsid w:val="00F02E5D"/>
    <w:rsid w:val="00F03521"/>
    <w:rsid w:val="00F035C6"/>
    <w:rsid w:val="00F03653"/>
    <w:rsid w:val="00F03A56"/>
    <w:rsid w:val="00F03BE2"/>
    <w:rsid w:val="00F040DF"/>
    <w:rsid w:val="00F048CD"/>
    <w:rsid w:val="00F053F3"/>
    <w:rsid w:val="00F061E0"/>
    <w:rsid w:val="00F0646E"/>
    <w:rsid w:val="00F06B66"/>
    <w:rsid w:val="00F077F8"/>
    <w:rsid w:val="00F07E8D"/>
    <w:rsid w:val="00F10453"/>
    <w:rsid w:val="00F10DB6"/>
    <w:rsid w:val="00F110E9"/>
    <w:rsid w:val="00F113CC"/>
    <w:rsid w:val="00F11530"/>
    <w:rsid w:val="00F11676"/>
    <w:rsid w:val="00F1170B"/>
    <w:rsid w:val="00F12285"/>
    <w:rsid w:val="00F12609"/>
    <w:rsid w:val="00F12F8E"/>
    <w:rsid w:val="00F13391"/>
    <w:rsid w:val="00F13792"/>
    <w:rsid w:val="00F13AE6"/>
    <w:rsid w:val="00F13F65"/>
    <w:rsid w:val="00F14384"/>
    <w:rsid w:val="00F14D49"/>
    <w:rsid w:val="00F153C3"/>
    <w:rsid w:val="00F15BEF"/>
    <w:rsid w:val="00F15C59"/>
    <w:rsid w:val="00F16217"/>
    <w:rsid w:val="00F1644D"/>
    <w:rsid w:val="00F16D24"/>
    <w:rsid w:val="00F16D70"/>
    <w:rsid w:val="00F173C6"/>
    <w:rsid w:val="00F17C09"/>
    <w:rsid w:val="00F20291"/>
    <w:rsid w:val="00F20D81"/>
    <w:rsid w:val="00F20DBD"/>
    <w:rsid w:val="00F219FE"/>
    <w:rsid w:val="00F21D45"/>
    <w:rsid w:val="00F22710"/>
    <w:rsid w:val="00F2272A"/>
    <w:rsid w:val="00F23143"/>
    <w:rsid w:val="00F2326E"/>
    <w:rsid w:val="00F235C9"/>
    <w:rsid w:val="00F23AFC"/>
    <w:rsid w:val="00F24073"/>
    <w:rsid w:val="00F243C1"/>
    <w:rsid w:val="00F24516"/>
    <w:rsid w:val="00F24DA4"/>
    <w:rsid w:val="00F25211"/>
    <w:rsid w:val="00F25510"/>
    <w:rsid w:val="00F25648"/>
    <w:rsid w:val="00F25A31"/>
    <w:rsid w:val="00F26437"/>
    <w:rsid w:val="00F26582"/>
    <w:rsid w:val="00F265F9"/>
    <w:rsid w:val="00F27C9F"/>
    <w:rsid w:val="00F31716"/>
    <w:rsid w:val="00F3191C"/>
    <w:rsid w:val="00F31AD9"/>
    <w:rsid w:val="00F31B72"/>
    <w:rsid w:val="00F32843"/>
    <w:rsid w:val="00F32B9D"/>
    <w:rsid w:val="00F32D82"/>
    <w:rsid w:val="00F33B76"/>
    <w:rsid w:val="00F3512B"/>
    <w:rsid w:val="00F3631E"/>
    <w:rsid w:val="00F364C2"/>
    <w:rsid w:val="00F36B29"/>
    <w:rsid w:val="00F37AD4"/>
    <w:rsid w:val="00F37AEE"/>
    <w:rsid w:val="00F37EA3"/>
    <w:rsid w:val="00F40384"/>
    <w:rsid w:val="00F406BB"/>
    <w:rsid w:val="00F40B9E"/>
    <w:rsid w:val="00F412DF"/>
    <w:rsid w:val="00F41691"/>
    <w:rsid w:val="00F4265A"/>
    <w:rsid w:val="00F42C9A"/>
    <w:rsid w:val="00F43190"/>
    <w:rsid w:val="00F43384"/>
    <w:rsid w:val="00F447CD"/>
    <w:rsid w:val="00F45F49"/>
    <w:rsid w:val="00F4612F"/>
    <w:rsid w:val="00F4613A"/>
    <w:rsid w:val="00F461B6"/>
    <w:rsid w:val="00F46808"/>
    <w:rsid w:val="00F46A26"/>
    <w:rsid w:val="00F4765C"/>
    <w:rsid w:val="00F477B5"/>
    <w:rsid w:val="00F47F41"/>
    <w:rsid w:val="00F47FE8"/>
    <w:rsid w:val="00F50109"/>
    <w:rsid w:val="00F5024A"/>
    <w:rsid w:val="00F50384"/>
    <w:rsid w:val="00F5076C"/>
    <w:rsid w:val="00F50928"/>
    <w:rsid w:val="00F50A1C"/>
    <w:rsid w:val="00F51344"/>
    <w:rsid w:val="00F5180C"/>
    <w:rsid w:val="00F51A4D"/>
    <w:rsid w:val="00F52613"/>
    <w:rsid w:val="00F52ED8"/>
    <w:rsid w:val="00F53274"/>
    <w:rsid w:val="00F53622"/>
    <w:rsid w:val="00F53C41"/>
    <w:rsid w:val="00F53EB8"/>
    <w:rsid w:val="00F54286"/>
    <w:rsid w:val="00F547D7"/>
    <w:rsid w:val="00F549D2"/>
    <w:rsid w:val="00F54CFE"/>
    <w:rsid w:val="00F5513D"/>
    <w:rsid w:val="00F55148"/>
    <w:rsid w:val="00F55D4D"/>
    <w:rsid w:val="00F5652E"/>
    <w:rsid w:val="00F56675"/>
    <w:rsid w:val="00F56868"/>
    <w:rsid w:val="00F569EC"/>
    <w:rsid w:val="00F57032"/>
    <w:rsid w:val="00F5764E"/>
    <w:rsid w:val="00F57898"/>
    <w:rsid w:val="00F60599"/>
    <w:rsid w:val="00F60A9E"/>
    <w:rsid w:val="00F61001"/>
    <w:rsid w:val="00F610AC"/>
    <w:rsid w:val="00F61279"/>
    <w:rsid w:val="00F61F38"/>
    <w:rsid w:val="00F62236"/>
    <w:rsid w:val="00F629F5"/>
    <w:rsid w:val="00F62BBF"/>
    <w:rsid w:val="00F63333"/>
    <w:rsid w:val="00F6385C"/>
    <w:rsid w:val="00F63E1A"/>
    <w:rsid w:val="00F63EFA"/>
    <w:rsid w:val="00F6445E"/>
    <w:rsid w:val="00F649FB"/>
    <w:rsid w:val="00F65940"/>
    <w:rsid w:val="00F65FA1"/>
    <w:rsid w:val="00F671B3"/>
    <w:rsid w:val="00F677EA"/>
    <w:rsid w:val="00F67E77"/>
    <w:rsid w:val="00F67FFA"/>
    <w:rsid w:val="00F70006"/>
    <w:rsid w:val="00F7075E"/>
    <w:rsid w:val="00F70D6E"/>
    <w:rsid w:val="00F70ED9"/>
    <w:rsid w:val="00F71113"/>
    <w:rsid w:val="00F717C1"/>
    <w:rsid w:val="00F71C3D"/>
    <w:rsid w:val="00F71F5B"/>
    <w:rsid w:val="00F723EE"/>
    <w:rsid w:val="00F72CA4"/>
    <w:rsid w:val="00F72EED"/>
    <w:rsid w:val="00F72F31"/>
    <w:rsid w:val="00F7353B"/>
    <w:rsid w:val="00F735A0"/>
    <w:rsid w:val="00F73BCA"/>
    <w:rsid w:val="00F743F8"/>
    <w:rsid w:val="00F7487B"/>
    <w:rsid w:val="00F7570E"/>
    <w:rsid w:val="00F76ADF"/>
    <w:rsid w:val="00F77B44"/>
    <w:rsid w:val="00F77FF5"/>
    <w:rsid w:val="00F80895"/>
    <w:rsid w:val="00F80BE1"/>
    <w:rsid w:val="00F81C7E"/>
    <w:rsid w:val="00F8203A"/>
    <w:rsid w:val="00F824BC"/>
    <w:rsid w:val="00F829E5"/>
    <w:rsid w:val="00F834F3"/>
    <w:rsid w:val="00F83F09"/>
    <w:rsid w:val="00F8404B"/>
    <w:rsid w:val="00F84FE0"/>
    <w:rsid w:val="00F85363"/>
    <w:rsid w:val="00F857BD"/>
    <w:rsid w:val="00F858FD"/>
    <w:rsid w:val="00F86195"/>
    <w:rsid w:val="00F861DA"/>
    <w:rsid w:val="00F8652D"/>
    <w:rsid w:val="00F86887"/>
    <w:rsid w:val="00F86A7C"/>
    <w:rsid w:val="00F86BC2"/>
    <w:rsid w:val="00F86EE1"/>
    <w:rsid w:val="00F86FB4"/>
    <w:rsid w:val="00F8734E"/>
    <w:rsid w:val="00F875E0"/>
    <w:rsid w:val="00F87A25"/>
    <w:rsid w:val="00F87D0D"/>
    <w:rsid w:val="00F9000C"/>
    <w:rsid w:val="00F903AB"/>
    <w:rsid w:val="00F9094B"/>
    <w:rsid w:val="00F90E2A"/>
    <w:rsid w:val="00F90F02"/>
    <w:rsid w:val="00F9141D"/>
    <w:rsid w:val="00F915ED"/>
    <w:rsid w:val="00F92193"/>
    <w:rsid w:val="00F92F28"/>
    <w:rsid w:val="00F935C5"/>
    <w:rsid w:val="00F93624"/>
    <w:rsid w:val="00F93C35"/>
    <w:rsid w:val="00F93C36"/>
    <w:rsid w:val="00F95347"/>
    <w:rsid w:val="00F95603"/>
    <w:rsid w:val="00F95B03"/>
    <w:rsid w:val="00F96C90"/>
    <w:rsid w:val="00F96C98"/>
    <w:rsid w:val="00F96CE6"/>
    <w:rsid w:val="00F97286"/>
    <w:rsid w:val="00F97C64"/>
    <w:rsid w:val="00FA0709"/>
    <w:rsid w:val="00FA080C"/>
    <w:rsid w:val="00FA0AF5"/>
    <w:rsid w:val="00FA110D"/>
    <w:rsid w:val="00FA162B"/>
    <w:rsid w:val="00FA2B0F"/>
    <w:rsid w:val="00FA2BCC"/>
    <w:rsid w:val="00FA328B"/>
    <w:rsid w:val="00FA3360"/>
    <w:rsid w:val="00FA3EF3"/>
    <w:rsid w:val="00FA4388"/>
    <w:rsid w:val="00FA4A40"/>
    <w:rsid w:val="00FA4CE3"/>
    <w:rsid w:val="00FA4F3C"/>
    <w:rsid w:val="00FA5622"/>
    <w:rsid w:val="00FA56CC"/>
    <w:rsid w:val="00FA5BF1"/>
    <w:rsid w:val="00FA5EF5"/>
    <w:rsid w:val="00FA6CC8"/>
    <w:rsid w:val="00FA7223"/>
    <w:rsid w:val="00FB0139"/>
    <w:rsid w:val="00FB03C9"/>
    <w:rsid w:val="00FB09DA"/>
    <w:rsid w:val="00FB0A61"/>
    <w:rsid w:val="00FB0FCB"/>
    <w:rsid w:val="00FB12A5"/>
    <w:rsid w:val="00FB12A8"/>
    <w:rsid w:val="00FB1683"/>
    <w:rsid w:val="00FB1F4D"/>
    <w:rsid w:val="00FB2052"/>
    <w:rsid w:val="00FB2633"/>
    <w:rsid w:val="00FB2CAF"/>
    <w:rsid w:val="00FB2D1C"/>
    <w:rsid w:val="00FB300A"/>
    <w:rsid w:val="00FB303D"/>
    <w:rsid w:val="00FB3A20"/>
    <w:rsid w:val="00FB3C37"/>
    <w:rsid w:val="00FB3D00"/>
    <w:rsid w:val="00FB3E29"/>
    <w:rsid w:val="00FB452D"/>
    <w:rsid w:val="00FB487B"/>
    <w:rsid w:val="00FB4BEF"/>
    <w:rsid w:val="00FB4CB7"/>
    <w:rsid w:val="00FB51B3"/>
    <w:rsid w:val="00FB5672"/>
    <w:rsid w:val="00FB59F4"/>
    <w:rsid w:val="00FB625D"/>
    <w:rsid w:val="00FB75A6"/>
    <w:rsid w:val="00FB7CB6"/>
    <w:rsid w:val="00FC08E7"/>
    <w:rsid w:val="00FC0E92"/>
    <w:rsid w:val="00FC0F05"/>
    <w:rsid w:val="00FC1CE3"/>
    <w:rsid w:val="00FC3C91"/>
    <w:rsid w:val="00FC3F80"/>
    <w:rsid w:val="00FC4325"/>
    <w:rsid w:val="00FC5680"/>
    <w:rsid w:val="00FC5F03"/>
    <w:rsid w:val="00FC62F2"/>
    <w:rsid w:val="00FC6566"/>
    <w:rsid w:val="00FC6703"/>
    <w:rsid w:val="00FC6873"/>
    <w:rsid w:val="00FC6A38"/>
    <w:rsid w:val="00FC6B03"/>
    <w:rsid w:val="00FC7800"/>
    <w:rsid w:val="00FC7C04"/>
    <w:rsid w:val="00FD0ABD"/>
    <w:rsid w:val="00FD0EEE"/>
    <w:rsid w:val="00FD0F76"/>
    <w:rsid w:val="00FD16B9"/>
    <w:rsid w:val="00FD1976"/>
    <w:rsid w:val="00FD1D69"/>
    <w:rsid w:val="00FD1D99"/>
    <w:rsid w:val="00FD1E30"/>
    <w:rsid w:val="00FD1E40"/>
    <w:rsid w:val="00FD202A"/>
    <w:rsid w:val="00FD253D"/>
    <w:rsid w:val="00FD3592"/>
    <w:rsid w:val="00FD3712"/>
    <w:rsid w:val="00FD37EB"/>
    <w:rsid w:val="00FD3BA7"/>
    <w:rsid w:val="00FD48BA"/>
    <w:rsid w:val="00FD5521"/>
    <w:rsid w:val="00FD55EF"/>
    <w:rsid w:val="00FD5969"/>
    <w:rsid w:val="00FD5A48"/>
    <w:rsid w:val="00FD60C6"/>
    <w:rsid w:val="00FD61F3"/>
    <w:rsid w:val="00FD6A04"/>
    <w:rsid w:val="00FD7965"/>
    <w:rsid w:val="00FE079F"/>
    <w:rsid w:val="00FE090F"/>
    <w:rsid w:val="00FE0DB2"/>
    <w:rsid w:val="00FE1601"/>
    <w:rsid w:val="00FE17AA"/>
    <w:rsid w:val="00FE1E3A"/>
    <w:rsid w:val="00FE27D0"/>
    <w:rsid w:val="00FE2845"/>
    <w:rsid w:val="00FE302E"/>
    <w:rsid w:val="00FE31CF"/>
    <w:rsid w:val="00FE3345"/>
    <w:rsid w:val="00FE36CE"/>
    <w:rsid w:val="00FE37C2"/>
    <w:rsid w:val="00FE37C7"/>
    <w:rsid w:val="00FE3841"/>
    <w:rsid w:val="00FE384F"/>
    <w:rsid w:val="00FE3AA9"/>
    <w:rsid w:val="00FE3DD9"/>
    <w:rsid w:val="00FE4D5F"/>
    <w:rsid w:val="00FE5730"/>
    <w:rsid w:val="00FE6051"/>
    <w:rsid w:val="00FE612E"/>
    <w:rsid w:val="00FE66FD"/>
    <w:rsid w:val="00FE6BD8"/>
    <w:rsid w:val="00FE70DC"/>
    <w:rsid w:val="00FE70E0"/>
    <w:rsid w:val="00FE7682"/>
    <w:rsid w:val="00FF0F2A"/>
    <w:rsid w:val="00FF13F4"/>
    <w:rsid w:val="00FF1AB6"/>
    <w:rsid w:val="00FF1DA3"/>
    <w:rsid w:val="00FF267D"/>
    <w:rsid w:val="00FF26EB"/>
    <w:rsid w:val="00FF29E7"/>
    <w:rsid w:val="00FF3563"/>
    <w:rsid w:val="00FF3BC4"/>
    <w:rsid w:val="00FF3FD3"/>
    <w:rsid w:val="00FF4529"/>
    <w:rsid w:val="00FF4B61"/>
    <w:rsid w:val="00FF4ED8"/>
    <w:rsid w:val="00FF64BF"/>
    <w:rsid w:val="00FF6571"/>
    <w:rsid w:val="00FF67DC"/>
    <w:rsid w:val="00FF682D"/>
    <w:rsid w:val="00FF6C33"/>
    <w:rsid w:val="00FF6C84"/>
    <w:rsid w:val="00FF70DF"/>
    <w:rsid w:val="00FF7F1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18D4C"/>
  <w15:chartTrackingRefBased/>
  <w15:docId w15:val="{8DB2800F-EA58-4C77-93C7-0FABFD15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94E"/>
    <w:pPr>
      <w:spacing w:line="360" w:lineRule="auto"/>
      <w:jc w:val="both"/>
    </w:pPr>
    <w:rPr>
      <w:rFonts w:ascii="Arial" w:hAnsi="Arial"/>
      <w:sz w:val="20"/>
    </w:rPr>
  </w:style>
  <w:style w:type="paragraph" w:styleId="Ttulo1">
    <w:name w:val="heading 1"/>
    <w:basedOn w:val="Normal"/>
    <w:next w:val="Normal"/>
    <w:link w:val="Ttulo1Car"/>
    <w:uiPriority w:val="9"/>
    <w:qFormat/>
    <w:rsid w:val="00FD202A"/>
    <w:pPr>
      <w:keepNext/>
      <w:keepLines/>
      <w:spacing w:before="240" w:after="0"/>
      <w:jc w:val="left"/>
      <w:outlineLvl w:val="0"/>
    </w:pPr>
    <w:rPr>
      <w:rFonts w:eastAsiaTheme="majorEastAsia" w:cstheme="majorBidi"/>
      <w:b/>
      <w:color w:val="FFFFFF" w:themeColor="background1"/>
      <w:sz w:val="40"/>
      <w:szCs w:val="32"/>
    </w:rPr>
  </w:style>
  <w:style w:type="paragraph" w:styleId="Ttulo2">
    <w:name w:val="heading 2"/>
    <w:basedOn w:val="Normal"/>
    <w:next w:val="Normal"/>
    <w:link w:val="Ttulo2Car"/>
    <w:uiPriority w:val="9"/>
    <w:unhideWhenUsed/>
    <w:qFormat/>
    <w:rsid w:val="00661AA5"/>
    <w:pPr>
      <w:keepNext/>
      <w:keepLines/>
      <w:spacing w:before="40" w:after="0"/>
      <w:outlineLvl w:val="1"/>
    </w:pPr>
    <w:rPr>
      <w:rFonts w:eastAsiaTheme="majorEastAsia" w:cstheme="majorBidi"/>
      <w:sz w:val="26"/>
      <w:szCs w:val="26"/>
    </w:rPr>
  </w:style>
  <w:style w:type="paragraph" w:styleId="Ttulo3">
    <w:name w:val="heading 3"/>
    <w:basedOn w:val="Normal"/>
    <w:next w:val="Normal"/>
    <w:link w:val="Ttulo3Car"/>
    <w:uiPriority w:val="9"/>
    <w:unhideWhenUsed/>
    <w:qFormat/>
    <w:rsid w:val="00661AA5"/>
    <w:pPr>
      <w:keepNext/>
      <w:keepLines/>
      <w:spacing w:before="160" w:after="120"/>
      <w:outlineLvl w:val="2"/>
    </w:pPr>
    <w:rPr>
      <w:rFonts w:eastAsiaTheme="majorEastAsia" w:cstheme="majorBidi"/>
      <w:sz w:val="24"/>
      <w:szCs w:val="24"/>
    </w:rPr>
  </w:style>
  <w:style w:type="paragraph" w:styleId="Ttulo7">
    <w:name w:val="heading 7"/>
    <w:basedOn w:val="Normal"/>
    <w:next w:val="Normal"/>
    <w:link w:val="Ttulo7Car"/>
    <w:uiPriority w:val="9"/>
    <w:semiHidden/>
    <w:unhideWhenUsed/>
    <w:qFormat/>
    <w:rsid w:val="00D0453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D202A"/>
    <w:rPr>
      <w:rFonts w:ascii="Arial" w:eastAsiaTheme="majorEastAsia" w:hAnsi="Arial" w:cstheme="majorBidi"/>
      <w:b/>
      <w:color w:val="FFFFFF" w:themeColor="background1"/>
      <w:sz w:val="40"/>
      <w:szCs w:val="32"/>
    </w:rPr>
  </w:style>
  <w:style w:type="character" w:customStyle="1" w:styleId="Ttulo2Car">
    <w:name w:val="Título 2 Car"/>
    <w:basedOn w:val="Fuentedeprrafopredeter"/>
    <w:link w:val="Ttulo2"/>
    <w:uiPriority w:val="9"/>
    <w:rsid w:val="001A5483"/>
    <w:rPr>
      <w:rFonts w:ascii="Arial" w:eastAsiaTheme="majorEastAsia" w:hAnsi="Arial" w:cstheme="majorBidi"/>
      <w:sz w:val="26"/>
      <w:szCs w:val="26"/>
    </w:rPr>
  </w:style>
  <w:style w:type="paragraph" w:styleId="Ttulo">
    <w:name w:val="Title"/>
    <w:basedOn w:val="Ttulo3"/>
    <w:next w:val="Normal"/>
    <w:link w:val="TtuloCar"/>
    <w:uiPriority w:val="10"/>
    <w:qFormat/>
    <w:rsid w:val="008C4B83"/>
    <w:pPr>
      <w:spacing w:line="240" w:lineRule="auto"/>
      <w:contextualSpacing/>
    </w:pPr>
    <w:rPr>
      <w:spacing w:val="-10"/>
      <w:kern w:val="28"/>
      <w:szCs w:val="56"/>
    </w:rPr>
  </w:style>
  <w:style w:type="character" w:customStyle="1" w:styleId="TtuloCar">
    <w:name w:val="Título Car"/>
    <w:basedOn w:val="Fuentedeprrafopredeter"/>
    <w:link w:val="Ttulo"/>
    <w:uiPriority w:val="10"/>
    <w:rsid w:val="008C4B83"/>
    <w:rPr>
      <w:rFonts w:ascii="Arial" w:eastAsiaTheme="majorEastAsia" w:hAnsi="Arial" w:cstheme="majorBidi"/>
      <w:spacing w:val="-10"/>
      <w:kern w:val="28"/>
      <w:sz w:val="24"/>
      <w:szCs w:val="56"/>
    </w:rPr>
  </w:style>
  <w:style w:type="paragraph" w:styleId="TtuloTDC">
    <w:name w:val="TOC Heading"/>
    <w:basedOn w:val="Ttulo1"/>
    <w:next w:val="Normal"/>
    <w:uiPriority w:val="39"/>
    <w:unhideWhenUsed/>
    <w:qFormat/>
    <w:rsid w:val="00064B01"/>
    <w:pPr>
      <w:spacing w:line="259" w:lineRule="auto"/>
      <w:outlineLvl w:val="9"/>
    </w:pPr>
    <w:rPr>
      <w:lang w:eastAsia="es-CR"/>
    </w:rPr>
  </w:style>
  <w:style w:type="character" w:customStyle="1" w:styleId="Ttulo3Car">
    <w:name w:val="Título 3 Car"/>
    <w:basedOn w:val="Fuentedeprrafopredeter"/>
    <w:link w:val="Ttulo3"/>
    <w:uiPriority w:val="9"/>
    <w:rsid w:val="00E00AD4"/>
    <w:rPr>
      <w:rFonts w:ascii="Arial" w:eastAsiaTheme="majorEastAsia" w:hAnsi="Arial" w:cstheme="majorBidi"/>
      <w:sz w:val="24"/>
      <w:szCs w:val="24"/>
    </w:rPr>
  </w:style>
  <w:style w:type="paragraph" w:styleId="TDC1">
    <w:name w:val="toc 1"/>
    <w:basedOn w:val="Normal"/>
    <w:next w:val="Normal"/>
    <w:autoRedefine/>
    <w:uiPriority w:val="39"/>
    <w:unhideWhenUsed/>
    <w:rsid w:val="00E22188"/>
    <w:pPr>
      <w:tabs>
        <w:tab w:val="right" w:leader="dot" w:pos="10070"/>
      </w:tabs>
      <w:spacing w:after="100"/>
    </w:pPr>
  </w:style>
  <w:style w:type="paragraph" w:styleId="TDC2">
    <w:name w:val="toc 2"/>
    <w:basedOn w:val="Normal"/>
    <w:next w:val="Normal"/>
    <w:autoRedefine/>
    <w:uiPriority w:val="39"/>
    <w:unhideWhenUsed/>
    <w:rsid w:val="000B7777"/>
    <w:pPr>
      <w:tabs>
        <w:tab w:val="left" w:pos="660"/>
        <w:tab w:val="right" w:leader="dot" w:pos="10070"/>
      </w:tabs>
      <w:spacing w:after="100"/>
      <w:ind w:left="200"/>
    </w:pPr>
  </w:style>
  <w:style w:type="paragraph" w:styleId="TDC3">
    <w:name w:val="toc 3"/>
    <w:basedOn w:val="Normal"/>
    <w:next w:val="Normal"/>
    <w:autoRedefine/>
    <w:uiPriority w:val="39"/>
    <w:unhideWhenUsed/>
    <w:rsid w:val="008C4B83"/>
    <w:pPr>
      <w:spacing w:after="100"/>
      <w:ind w:left="400"/>
    </w:pPr>
  </w:style>
  <w:style w:type="character" w:styleId="Hipervnculo">
    <w:name w:val="Hyperlink"/>
    <w:basedOn w:val="Fuentedeprrafopredeter"/>
    <w:uiPriority w:val="99"/>
    <w:unhideWhenUsed/>
    <w:rsid w:val="008C4B83"/>
    <w:rPr>
      <w:color w:val="0563C1" w:themeColor="hyperlink"/>
      <w:u w:val="single"/>
    </w:rPr>
  </w:style>
  <w:style w:type="paragraph" w:styleId="Prrafodelista">
    <w:name w:val="List Paragraph"/>
    <w:basedOn w:val="Normal"/>
    <w:uiPriority w:val="34"/>
    <w:qFormat/>
    <w:rsid w:val="0015666F"/>
    <w:pPr>
      <w:ind w:left="720"/>
      <w:contextualSpacing/>
    </w:pPr>
  </w:style>
  <w:style w:type="paragraph" w:styleId="Encabezado">
    <w:name w:val="header"/>
    <w:basedOn w:val="Normal"/>
    <w:link w:val="EncabezadoCar"/>
    <w:uiPriority w:val="99"/>
    <w:unhideWhenUsed/>
    <w:rsid w:val="00F67E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7E77"/>
    <w:rPr>
      <w:rFonts w:ascii="Arial" w:hAnsi="Arial"/>
      <w:sz w:val="20"/>
    </w:rPr>
  </w:style>
  <w:style w:type="paragraph" w:styleId="Piedepgina">
    <w:name w:val="footer"/>
    <w:basedOn w:val="Normal"/>
    <w:link w:val="PiedepginaCar"/>
    <w:uiPriority w:val="99"/>
    <w:unhideWhenUsed/>
    <w:rsid w:val="00F67E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7E77"/>
    <w:rPr>
      <w:rFonts w:ascii="Arial" w:hAnsi="Arial"/>
      <w:sz w:val="20"/>
    </w:rPr>
  </w:style>
  <w:style w:type="table" w:styleId="Tablaconcuadrcula">
    <w:name w:val="Table Grid"/>
    <w:basedOn w:val="Tablanormal"/>
    <w:uiPriority w:val="39"/>
    <w:rsid w:val="0066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25C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5CBF"/>
    <w:rPr>
      <w:rFonts w:ascii="Segoe UI" w:hAnsi="Segoe UI" w:cs="Segoe UI"/>
      <w:sz w:val="18"/>
      <w:szCs w:val="18"/>
    </w:rPr>
  </w:style>
  <w:style w:type="paragraph" w:styleId="Textonotapie">
    <w:name w:val="footnote text"/>
    <w:basedOn w:val="Normal"/>
    <w:link w:val="TextonotapieCar"/>
    <w:uiPriority w:val="99"/>
    <w:semiHidden/>
    <w:unhideWhenUsed/>
    <w:rsid w:val="00525CBF"/>
    <w:pPr>
      <w:spacing w:after="0" w:line="240" w:lineRule="auto"/>
    </w:pPr>
    <w:rPr>
      <w:szCs w:val="20"/>
    </w:rPr>
  </w:style>
  <w:style w:type="character" w:customStyle="1" w:styleId="TextonotapieCar">
    <w:name w:val="Texto nota pie Car"/>
    <w:basedOn w:val="Fuentedeprrafopredeter"/>
    <w:link w:val="Textonotapie"/>
    <w:uiPriority w:val="99"/>
    <w:semiHidden/>
    <w:rsid w:val="00525CBF"/>
    <w:rPr>
      <w:rFonts w:ascii="Arial" w:hAnsi="Arial"/>
      <w:sz w:val="20"/>
      <w:szCs w:val="20"/>
    </w:rPr>
  </w:style>
  <w:style w:type="character" w:styleId="Refdenotaalpie">
    <w:name w:val="footnote reference"/>
    <w:basedOn w:val="Fuentedeprrafopredeter"/>
    <w:uiPriority w:val="99"/>
    <w:semiHidden/>
    <w:unhideWhenUsed/>
    <w:rsid w:val="00525CBF"/>
    <w:rPr>
      <w:vertAlign w:val="superscript"/>
    </w:rPr>
  </w:style>
  <w:style w:type="character" w:styleId="Mencinsinresolver">
    <w:name w:val="Unresolved Mention"/>
    <w:basedOn w:val="Fuentedeprrafopredeter"/>
    <w:uiPriority w:val="99"/>
    <w:semiHidden/>
    <w:unhideWhenUsed/>
    <w:rsid w:val="0062381A"/>
    <w:rPr>
      <w:color w:val="605E5C"/>
      <w:shd w:val="clear" w:color="auto" w:fill="E1DFDD"/>
    </w:rPr>
  </w:style>
  <w:style w:type="character" w:styleId="Hipervnculovisitado">
    <w:name w:val="FollowedHyperlink"/>
    <w:basedOn w:val="Fuentedeprrafopredeter"/>
    <w:uiPriority w:val="99"/>
    <w:semiHidden/>
    <w:unhideWhenUsed/>
    <w:rsid w:val="002775E6"/>
    <w:rPr>
      <w:color w:val="954F72" w:themeColor="followedHyperlink"/>
      <w:u w:val="single"/>
    </w:rPr>
  </w:style>
  <w:style w:type="paragraph" w:styleId="Descripcin">
    <w:name w:val="caption"/>
    <w:basedOn w:val="Normal"/>
    <w:next w:val="Normal"/>
    <w:uiPriority w:val="35"/>
    <w:unhideWhenUsed/>
    <w:qFormat/>
    <w:rsid w:val="000C2589"/>
    <w:pPr>
      <w:spacing w:after="200"/>
      <w:jc w:val="center"/>
    </w:pPr>
    <w:rPr>
      <w:b/>
      <w:i/>
      <w:iCs/>
      <w:szCs w:val="18"/>
    </w:rPr>
  </w:style>
  <w:style w:type="paragraph" w:styleId="Tabladeilustraciones">
    <w:name w:val="table of figures"/>
    <w:basedOn w:val="Normal"/>
    <w:next w:val="Normal"/>
    <w:uiPriority w:val="99"/>
    <w:unhideWhenUsed/>
    <w:rsid w:val="00F86887"/>
    <w:pPr>
      <w:spacing w:after="0"/>
    </w:pPr>
  </w:style>
  <w:style w:type="character" w:styleId="Refdecomentario">
    <w:name w:val="annotation reference"/>
    <w:basedOn w:val="Fuentedeprrafopredeter"/>
    <w:uiPriority w:val="99"/>
    <w:semiHidden/>
    <w:unhideWhenUsed/>
    <w:rsid w:val="00EB7FD1"/>
    <w:rPr>
      <w:sz w:val="16"/>
      <w:szCs w:val="16"/>
    </w:rPr>
  </w:style>
  <w:style w:type="paragraph" w:styleId="Textocomentario">
    <w:name w:val="annotation text"/>
    <w:basedOn w:val="Normal"/>
    <w:link w:val="TextocomentarioCar"/>
    <w:uiPriority w:val="99"/>
    <w:unhideWhenUsed/>
    <w:rsid w:val="00EB7FD1"/>
    <w:pPr>
      <w:spacing w:line="240" w:lineRule="auto"/>
    </w:pPr>
    <w:rPr>
      <w:szCs w:val="20"/>
    </w:rPr>
  </w:style>
  <w:style w:type="character" w:customStyle="1" w:styleId="TextocomentarioCar">
    <w:name w:val="Texto comentario Car"/>
    <w:basedOn w:val="Fuentedeprrafopredeter"/>
    <w:link w:val="Textocomentario"/>
    <w:uiPriority w:val="99"/>
    <w:rsid w:val="00EB7FD1"/>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EB7FD1"/>
    <w:rPr>
      <w:b/>
      <w:bCs/>
    </w:rPr>
  </w:style>
  <w:style w:type="character" w:customStyle="1" w:styleId="AsuntodelcomentarioCar">
    <w:name w:val="Asunto del comentario Car"/>
    <w:basedOn w:val="TextocomentarioCar"/>
    <w:link w:val="Asuntodelcomentario"/>
    <w:uiPriority w:val="99"/>
    <w:semiHidden/>
    <w:rsid w:val="00EB7FD1"/>
    <w:rPr>
      <w:rFonts w:ascii="Arial" w:hAnsi="Arial"/>
      <w:b/>
      <w:bCs/>
      <w:sz w:val="20"/>
      <w:szCs w:val="20"/>
    </w:rPr>
  </w:style>
  <w:style w:type="paragraph" w:styleId="TDC4">
    <w:name w:val="toc 4"/>
    <w:basedOn w:val="Normal"/>
    <w:next w:val="Normal"/>
    <w:autoRedefine/>
    <w:uiPriority w:val="39"/>
    <w:unhideWhenUsed/>
    <w:rsid w:val="00DA6131"/>
    <w:pPr>
      <w:spacing w:after="100" w:line="259" w:lineRule="auto"/>
      <w:ind w:left="660"/>
      <w:jc w:val="left"/>
    </w:pPr>
    <w:rPr>
      <w:rFonts w:asciiTheme="minorHAnsi" w:eastAsiaTheme="minorEastAsia" w:hAnsiTheme="minorHAnsi"/>
      <w:sz w:val="22"/>
      <w:lang w:eastAsia="es-CR"/>
    </w:rPr>
  </w:style>
  <w:style w:type="paragraph" w:styleId="TDC5">
    <w:name w:val="toc 5"/>
    <w:basedOn w:val="Normal"/>
    <w:next w:val="Normal"/>
    <w:autoRedefine/>
    <w:uiPriority w:val="39"/>
    <w:unhideWhenUsed/>
    <w:rsid w:val="00DA6131"/>
    <w:pPr>
      <w:spacing w:after="100" w:line="259" w:lineRule="auto"/>
      <w:ind w:left="880"/>
      <w:jc w:val="left"/>
    </w:pPr>
    <w:rPr>
      <w:rFonts w:asciiTheme="minorHAnsi" w:eastAsiaTheme="minorEastAsia" w:hAnsiTheme="minorHAnsi"/>
      <w:sz w:val="22"/>
      <w:lang w:eastAsia="es-CR"/>
    </w:rPr>
  </w:style>
  <w:style w:type="paragraph" w:styleId="TDC6">
    <w:name w:val="toc 6"/>
    <w:basedOn w:val="Normal"/>
    <w:next w:val="Normal"/>
    <w:autoRedefine/>
    <w:uiPriority w:val="39"/>
    <w:unhideWhenUsed/>
    <w:rsid w:val="00DA6131"/>
    <w:pPr>
      <w:spacing w:after="100" w:line="259" w:lineRule="auto"/>
      <w:ind w:left="1100"/>
      <w:jc w:val="left"/>
    </w:pPr>
    <w:rPr>
      <w:rFonts w:asciiTheme="minorHAnsi" w:eastAsiaTheme="minorEastAsia" w:hAnsiTheme="minorHAnsi"/>
      <w:sz w:val="22"/>
      <w:lang w:eastAsia="es-CR"/>
    </w:rPr>
  </w:style>
  <w:style w:type="paragraph" w:styleId="TDC7">
    <w:name w:val="toc 7"/>
    <w:basedOn w:val="Normal"/>
    <w:next w:val="Normal"/>
    <w:autoRedefine/>
    <w:uiPriority w:val="39"/>
    <w:unhideWhenUsed/>
    <w:rsid w:val="00737DF7"/>
    <w:pPr>
      <w:spacing w:after="100" w:line="259" w:lineRule="auto"/>
      <w:ind w:left="1320"/>
      <w:jc w:val="left"/>
    </w:pPr>
    <w:rPr>
      <w:rFonts w:asciiTheme="minorHAnsi" w:eastAsiaTheme="minorEastAsia" w:hAnsiTheme="minorHAnsi"/>
      <w:sz w:val="22"/>
      <w:lang w:eastAsia="es-CR"/>
    </w:rPr>
  </w:style>
  <w:style w:type="paragraph" w:styleId="TDC8">
    <w:name w:val="toc 8"/>
    <w:basedOn w:val="Normal"/>
    <w:next w:val="Normal"/>
    <w:autoRedefine/>
    <w:uiPriority w:val="39"/>
    <w:unhideWhenUsed/>
    <w:rsid w:val="00737DF7"/>
    <w:pPr>
      <w:tabs>
        <w:tab w:val="left" w:pos="660"/>
        <w:tab w:val="right" w:leader="dot" w:pos="10070"/>
      </w:tabs>
      <w:spacing w:after="100"/>
      <w:ind w:left="200"/>
    </w:pPr>
    <w:rPr>
      <w:rFonts w:asciiTheme="minorHAnsi" w:eastAsiaTheme="minorEastAsia" w:hAnsiTheme="minorHAnsi"/>
      <w:sz w:val="22"/>
      <w:lang w:eastAsia="es-CR"/>
    </w:rPr>
  </w:style>
  <w:style w:type="paragraph" w:styleId="TDC9">
    <w:name w:val="toc 9"/>
    <w:basedOn w:val="Normal"/>
    <w:next w:val="Normal"/>
    <w:autoRedefine/>
    <w:uiPriority w:val="39"/>
    <w:unhideWhenUsed/>
    <w:rsid w:val="00DA6131"/>
    <w:pPr>
      <w:spacing w:after="100" w:line="259" w:lineRule="auto"/>
      <w:ind w:left="1760"/>
      <w:jc w:val="left"/>
    </w:pPr>
    <w:rPr>
      <w:rFonts w:asciiTheme="minorHAnsi" w:eastAsiaTheme="minorEastAsia" w:hAnsiTheme="minorHAnsi"/>
      <w:sz w:val="22"/>
      <w:lang w:eastAsia="es-CR"/>
    </w:rPr>
  </w:style>
  <w:style w:type="character" w:customStyle="1" w:styleId="Ttulo7Car">
    <w:name w:val="Título 7 Car"/>
    <w:basedOn w:val="Fuentedeprrafopredeter"/>
    <w:link w:val="Ttulo7"/>
    <w:uiPriority w:val="9"/>
    <w:semiHidden/>
    <w:rsid w:val="00D0453B"/>
    <w:rPr>
      <w:rFonts w:asciiTheme="majorHAnsi" w:eastAsiaTheme="majorEastAsia" w:hAnsiTheme="majorHAnsi" w:cstheme="majorBidi"/>
      <w:i/>
      <w:iCs/>
      <w:color w:val="1F3763" w:themeColor="accent1" w:themeShade="7F"/>
      <w:sz w:val="20"/>
    </w:rPr>
  </w:style>
  <w:style w:type="paragraph" w:styleId="Revisin">
    <w:name w:val="Revision"/>
    <w:hidden/>
    <w:uiPriority w:val="99"/>
    <w:semiHidden/>
    <w:rsid w:val="00F40B9E"/>
    <w:pPr>
      <w:spacing w:after="0" w:line="240" w:lineRule="auto"/>
    </w:pPr>
    <w:rPr>
      <w:rFonts w:ascii="Arial" w:hAnsi="Arial"/>
      <w:sz w:val="20"/>
    </w:rPr>
  </w:style>
  <w:style w:type="table" w:styleId="Tablaconcuadrculaclara">
    <w:name w:val="Grid Table Light"/>
    <w:basedOn w:val="Tablanormal"/>
    <w:uiPriority w:val="40"/>
    <w:rsid w:val="007605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EB10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177CE"/>
    <w:pPr>
      <w:spacing w:before="100" w:beforeAutospacing="1" w:after="100" w:afterAutospacing="1" w:line="240" w:lineRule="auto"/>
      <w:jc w:val="left"/>
    </w:pPr>
    <w:rPr>
      <w:rFonts w:ascii="Times New Roman" w:eastAsia="Times New Roman" w:hAnsi="Times New Roman" w:cs="Times New Roman"/>
      <w:sz w:val="24"/>
      <w:szCs w:val="24"/>
      <w:lang w:eastAsia="es-CR"/>
    </w:rPr>
  </w:style>
  <w:style w:type="character" w:styleId="Textoennegrita">
    <w:name w:val="Strong"/>
    <w:basedOn w:val="Fuentedeprrafopredeter"/>
    <w:uiPriority w:val="22"/>
    <w:qFormat/>
    <w:rsid w:val="003C07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94966">
      <w:bodyDiv w:val="1"/>
      <w:marLeft w:val="0"/>
      <w:marRight w:val="0"/>
      <w:marTop w:val="0"/>
      <w:marBottom w:val="0"/>
      <w:divBdr>
        <w:top w:val="none" w:sz="0" w:space="0" w:color="auto"/>
        <w:left w:val="none" w:sz="0" w:space="0" w:color="auto"/>
        <w:bottom w:val="none" w:sz="0" w:space="0" w:color="auto"/>
        <w:right w:val="none" w:sz="0" w:space="0" w:color="auto"/>
      </w:divBdr>
    </w:div>
    <w:div w:id="7371920">
      <w:bodyDiv w:val="1"/>
      <w:marLeft w:val="0"/>
      <w:marRight w:val="0"/>
      <w:marTop w:val="0"/>
      <w:marBottom w:val="0"/>
      <w:divBdr>
        <w:top w:val="none" w:sz="0" w:space="0" w:color="auto"/>
        <w:left w:val="none" w:sz="0" w:space="0" w:color="auto"/>
        <w:bottom w:val="none" w:sz="0" w:space="0" w:color="auto"/>
        <w:right w:val="none" w:sz="0" w:space="0" w:color="auto"/>
      </w:divBdr>
    </w:div>
    <w:div w:id="12339899">
      <w:bodyDiv w:val="1"/>
      <w:marLeft w:val="0"/>
      <w:marRight w:val="0"/>
      <w:marTop w:val="0"/>
      <w:marBottom w:val="0"/>
      <w:divBdr>
        <w:top w:val="none" w:sz="0" w:space="0" w:color="auto"/>
        <w:left w:val="none" w:sz="0" w:space="0" w:color="auto"/>
        <w:bottom w:val="none" w:sz="0" w:space="0" w:color="auto"/>
        <w:right w:val="none" w:sz="0" w:space="0" w:color="auto"/>
      </w:divBdr>
    </w:div>
    <w:div w:id="29301535">
      <w:bodyDiv w:val="1"/>
      <w:marLeft w:val="0"/>
      <w:marRight w:val="0"/>
      <w:marTop w:val="0"/>
      <w:marBottom w:val="0"/>
      <w:divBdr>
        <w:top w:val="none" w:sz="0" w:space="0" w:color="auto"/>
        <w:left w:val="none" w:sz="0" w:space="0" w:color="auto"/>
        <w:bottom w:val="none" w:sz="0" w:space="0" w:color="auto"/>
        <w:right w:val="none" w:sz="0" w:space="0" w:color="auto"/>
      </w:divBdr>
    </w:div>
    <w:div w:id="39596230">
      <w:bodyDiv w:val="1"/>
      <w:marLeft w:val="0"/>
      <w:marRight w:val="0"/>
      <w:marTop w:val="0"/>
      <w:marBottom w:val="0"/>
      <w:divBdr>
        <w:top w:val="none" w:sz="0" w:space="0" w:color="auto"/>
        <w:left w:val="none" w:sz="0" w:space="0" w:color="auto"/>
        <w:bottom w:val="none" w:sz="0" w:space="0" w:color="auto"/>
        <w:right w:val="none" w:sz="0" w:space="0" w:color="auto"/>
      </w:divBdr>
    </w:div>
    <w:div w:id="45879879">
      <w:bodyDiv w:val="1"/>
      <w:marLeft w:val="0"/>
      <w:marRight w:val="0"/>
      <w:marTop w:val="0"/>
      <w:marBottom w:val="0"/>
      <w:divBdr>
        <w:top w:val="none" w:sz="0" w:space="0" w:color="auto"/>
        <w:left w:val="none" w:sz="0" w:space="0" w:color="auto"/>
        <w:bottom w:val="none" w:sz="0" w:space="0" w:color="auto"/>
        <w:right w:val="none" w:sz="0" w:space="0" w:color="auto"/>
      </w:divBdr>
    </w:div>
    <w:div w:id="47193724">
      <w:bodyDiv w:val="1"/>
      <w:marLeft w:val="0"/>
      <w:marRight w:val="0"/>
      <w:marTop w:val="0"/>
      <w:marBottom w:val="0"/>
      <w:divBdr>
        <w:top w:val="none" w:sz="0" w:space="0" w:color="auto"/>
        <w:left w:val="none" w:sz="0" w:space="0" w:color="auto"/>
        <w:bottom w:val="none" w:sz="0" w:space="0" w:color="auto"/>
        <w:right w:val="none" w:sz="0" w:space="0" w:color="auto"/>
      </w:divBdr>
    </w:div>
    <w:div w:id="56325689">
      <w:bodyDiv w:val="1"/>
      <w:marLeft w:val="0"/>
      <w:marRight w:val="0"/>
      <w:marTop w:val="0"/>
      <w:marBottom w:val="0"/>
      <w:divBdr>
        <w:top w:val="none" w:sz="0" w:space="0" w:color="auto"/>
        <w:left w:val="none" w:sz="0" w:space="0" w:color="auto"/>
        <w:bottom w:val="none" w:sz="0" w:space="0" w:color="auto"/>
        <w:right w:val="none" w:sz="0" w:space="0" w:color="auto"/>
      </w:divBdr>
    </w:div>
    <w:div w:id="76639254">
      <w:bodyDiv w:val="1"/>
      <w:marLeft w:val="0"/>
      <w:marRight w:val="0"/>
      <w:marTop w:val="0"/>
      <w:marBottom w:val="0"/>
      <w:divBdr>
        <w:top w:val="none" w:sz="0" w:space="0" w:color="auto"/>
        <w:left w:val="none" w:sz="0" w:space="0" w:color="auto"/>
        <w:bottom w:val="none" w:sz="0" w:space="0" w:color="auto"/>
        <w:right w:val="none" w:sz="0" w:space="0" w:color="auto"/>
      </w:divBdr>
    </w:div>
    <w:div w:id="87123556">
      <w:bodyDiv w:val="1"/>
      <w:marLeft w:val="0"/>
      <w:marRight w:val="0"/>
      <w:marTop w:val="0"/>
      <w:marBottom w:val="0"/>
      <w:divBdr>
        <w:top w:val="none" w:sz="0" w:space="0" w:color="auto"/>
        <w:left w:val="none" w:sz="0" w:space="0" w:color="auto"/>
        <w:bottom w:val="none" w:sz="0" w:space="0" w:color="auto"/>
        <w:right w:val="none" w:sz="0" w:space="0" w:color="auto"/>
      </w:divBdr>
    </w:div>
    <w:div w:id="95752142">
      <w:bodyDiv w:val="1"/>
      <w:marLeft w:val="0"/>
      <w:marRight w:val="0"/>
      <w:marTop w:val="0"/>
      <w:marBottom w:val="0"/>
      <w:divBdr>
        <w:top w:val="none" w:sz="0" w:space="0" w:color="auto"/>
        <w:left w:val="none" w:sz="0" w:space="0" w:color="auto"/>
        <w:bottom w:val="none" w:sz="0" w:space="0" w:color="auto"/>
        <w:right w:val="none" w:sz="0" w:space="0" w:color="auto"/>
      </w:divBdr>
    </w:div>
    <w:div w:id="129634156">
      <w:bodyDiv w:val="1"/>
      <w:marLeft w:val="0"/>
      <w:marRight w:val="0"/>
      <w:marTop w:val="0"/>
      <w:marBottom w:val="0"/>
      <w:divBdr>
        <w:top w:val="none" w:sz="0" w:space="0" w:color="auto"/>
        <w:left w:val="none" w:sz="0" w:space="0" w:color="auto"/>
        <w:bottom w:val="none" w:sz="0" w:space="0" w:color="auto"/>
        <w:right w:val="none" w:sz="0" w:space="0" w:color="auto"/>
      </w:divBdr>
    </w:div>
    <w:div w:id="163519987">
      <w:bodyDiv w:val="1"/>
      <w:marLeft w:val="0"/>
      <w:marRight w:val="0"/>
      <w:marTop w:val="0"/>
      <w:marBottom w:val="0"/>
      <w:divBdr>
        <w:top w:val="none" w:sz="0" w:space="0" w:color="auto"/>
        <w:left w:val="none" w:sz="0" w:space="0" w:color="auto"/>
        <w:bottom w:val="none" w:sz="0" w:space="0" w:color="auto"/>
        <w:right w:val="none" w:sz="0" w:space="0" w:color="auto"/>
      </w:divBdr>
    </w:div>
    <w:div w:id="172764841">
      <w:bodyDiv w:val="1"/>
      <w:marLeft w:val="0"/>
      <w:marRight w:val="0"/>
      <w:marTop w:val="0"/>
      <w:marBottom w:val="0"/>
      <w:divBdr>
        <w:top w:val="none" w:sz="0" w:space="0" w:color="auto"/>
        <w:left w:val="none" w:sz="0" w:space="0" w:color="auto"/>
        <w:bottom w:val="none" w:sz="0" w:space="0" w:color="auto"/>
        <w:right w:val="none" w:sz="0" w:space="0" w:color="auto"/>
      </w:divBdr>
    </w:div>
    <w:div w:id="189728402">
      <w:bodyDiv w:val="1"/>
      <w:marLeft w:val="0"/>
      <w:marRight w:val="0"/>
      <w:marTop w:val="0"/>
      <w:marBottom w:val="0"/>
      <w:divBdr>
        <w:top w:val="none" w:sz="0" w:space="0" w:color="auto"/>
        <w:left w:val="none" w:sz="0" w:space="0" w:color="auto"/>
        <w:bottom w:val="none" w:sz="0" w:space="0" w:color="auto"/>
        <w:right w:val="none" w:sz="0" w:space="0" w:color="auto"/>
      </w:divBdr>
    </w:div>
    <w:div w:id="207765369">
      <w:bodyDiv w:val="1"/>
      <w:marLeft w:val="0"/>
      <w:marRight w:val="0"/>
      <w:marTop w:val="0"/>
      <w:marBottom w:val="0"/>
      <w:divBdr>
        <w:top w:val="none" w:sz="0" w:space="0" w:color="auto"/>
        <w:left w:val="none" w:sz="0" w:space="0" w:color="auto"/>
        <w:bottom w:val="none" w:sz="0" w:space="0" w:color="auto"/>
        <w:right w:val="none" w:sz="0" w:space="0" w:color="auto"/>
      </w:divBdr>
    </w:div>
    <w:div w:id="220869228">
      <w:bodyDiv w:val="1"/>
      <w:marLeft w:val="0"/>
      <w:marRight w:val="0"/>
      <w:marTop w:val="0"/>
      <w:marBottom w:val="0"/>
      <w:divBdr>
        <w:top w:val="none" w:sz="0" w:space="0" w:color="auto"/>
        <w:left w:val="none" w:sz="0" w:space="0" w:color="auto"/>
        <w:bottom w:val="none" w:sz="0" w:space="0" w:color="auto"/>
        <w:right w:val="none" w:sz="0" w:space="0" w:color="auto"/>
      </w:divBdr>
    </w:div>
    <w:div w:id="225579775">
      <w:bodyDiv w:val="1"/>
      <w:marLeft w:val="0"/>
      <w:marRight w:val="0"/>
      <w:marTop w:val="0"/>
      <w:marBottom w:val="0"/>
      <w:divBdr>
        <w:top w:val="none" w:sz="0" w:space="0" w:color="auto"/>
        <w:left w:val="none" w:sz="0" w:space="0" w:color="auto"/>
        <w:bottom w:val="none" w:sz="0" w:space="0" w:color="auto"/>
        <w:right w:val="none" w:sz="0" w:space="0" w:color="auto"/>
      </w:divBdr>
    </w:div>
    <w:div w:id="236743451">
      <w:bodyDiv w:val="1"/>
      <w:marLeft w:val="0"/>
      <w:marRight w:val="0"/>
      <w:marTop w:val="0"/>
      <w:marBottom w:val="0"/>
      <w:divBdr>
        <w:top w:val="none" w:sz="0" w:space="0" w:color="auto"/>
        <w:left w:val="none" w:sz="0" w:space="0" w:color="auto"/>
        <w:bottom w:val="none" w:sz="0" w:space="0" w:color="auto"/>
        <w:right w:val="none" w:sz="0" w:space="0" w:color="auto"/>
      </w:divBdr>
    </w:div>
    <w:div w:id="257761214">
      <w:bodyDiv w:val="1"/>
      <w:marLeft w:val="0"/>
      <w:marRight w:val="0"/>
      <w:marTop w:val="0"/>
      <w:marBottom w:val="0"/>
      <w:divBdr>
        <w:top w:val="none" w:sz="0" w:space="0" w:color="auto"/>
        <w:left w:val="none" w:sz="0" w:space="0" w:color="auto"/>
        <w:bottom w:val="none" w:sz="0" w:space="0" w:color="auto"/>
        <w:right w:val="none" w:sz="0" w:space="0" w:color="auto"/>
      </w:divBdr>
    </w:div>
    <w:div w:id="290596713">
      <w:bodyDiv w:val="1"/>
      <w:marLeft w:val="0"/>
      <w:marRight w:val="0"/>
      <w:marTop w:val="0"/>
      <w:marBottom w:val="0"/>
      <w:divBdr>
        <w:top w:val="none" w:sz="0" w:space="0" w:color="auto"/>
        <w:left w:val="none" w:sz="0" w:space="0" w:color="auto"/>
        <w:bottom w:val="none" w:sz="0" w:space="0" w:color="auto"/>
        <w:right w:val="none" w:sz="0" w:space="0" w:color="auto"/>
      </w:divBdr>
    </w:div>
    <w:div w:id="291981953">
      <w:bodyDiv w:val="1"/>
      <w:marLeft w:val="0"/>
      <w:marRight w:val="0"/>
      <w:marTop w:val="0"/>
      <w:marBottom w:val="0"/>
      <w:divBdr>
        <w:top w:val="none" w:sz="0" w:space="0" w:color="auto"/>
        <w:left w:val="none" w:sz="0" w:space="0" w:color="auto"/>
        <w:bottom w:val="none" w:sz="0" w:space="0" w:color="auto"/>
        <w:right w:val="none" w:sz="0" w:space="0" w:color="auto"/>
      </w:divBdr>
    </w:div>
    <w:div w:id="296685051">
      <w:bodyDiv w:val="1"/>
      <w:marLeft w:val="0"/>
      <w:marRight w:val="0"/>
      <w:marTop w:val="0"/>
      <w:marBottom w:val="0"/>
      <w:divBdr>
        <w:top w:val="none" w:sz="0" w:space="0" w:color="auto"/>
        <w:left w:val="none" w:sz="0" w:space="0" w:color="auto"/>
        <w:bottom w:val="none" w:sz="0" w:space="0" w:color="auto"/>
        <w:right w:val="none" w:sz="0" w:space="0" w:color="auto"/>
      </w:divBdr>
    </w:div>
    <w:div w:id="319046839">
      <w:bodyDiv w:val="1"/>
      <w:marLeft w:val="0"/>
      <w:marRight w:val="0"/>
      <w:marTop w:val="0"/>
      <w:marBottom w:val="0"/>
      <w:divBdr>
        <w:top w:val="none" w:sz="0" w:space="0" w:color="auto"/>
        <w:left w:val="none" w:sz="0" w:space="0" w:color="auto"/>
        <w:bottom w:val="none" w:sz="0" w:space="0" w:color="auto"/>
        <w:right w:val="none" w:sz="0" w:space="0" w:color="auto"/>
      </w:divBdr>
    </w:div>
    <w:div w:id="326252024">
      <w:bodyDiv w:val="1"/>
      <w:marLeft w:val="0"/>
      <w:marRight w:val="0"/>
      <w:marTop w:val="0"/>
      <w:marBottom w:val="0"/>
      <w:divBdr>
        <w:top w:val="none" w:sz="0" w:space="0" w:color="auto"/>
        <w:left w:val="none" w:sz="0" w:space="0" w:color="auto"/>
        <w:bottom w:val="none" w:sz="0" w:space="0" w:color="auto"/>
        <w:right w:val="none" w:sz="0" w:space="0" w:color="auto"/>
      </w:divBdr>
    </w:div>
    <w:div w:id="344941716">
      <w:bodyDiv w:val="1"/>
      <w:marLeft w:val="0"/>
      <w:marRight w:val="0"/>
      <w:marTop w:val="0"/>
      <w:marBottom w:val="0"/>
      <w:divBdr>
        <w:top w:val="none" w:sz="0" w:space="0" w:color="auto"/>
        <w:left w:val="none" w:sz="0" w:space="0" w:color="auto"/>
        <w:bottom w:val="none" w:sz="0" w:space="0" w:color="auto"/>
        <w:right w:val="none" w:sz="0" w:space="0" w:color="auto"/>
      </w:divBdr>
    </w:div>
    <w:div w:id="349261714">
      <w:bodyDiv w:val="1"/>
      <w:marLeft w:val="0"/>
      <w:marRight w:val="0"/>
      <w:marTop w:val="0"/>
      <w:marBottom w:val="0"/>
      <w:divBdr>
        <w:top w:val="none" w:sz="0" w:space="0" w:color="auto"/>
        <w:left w:val="none" w:sz="0" w:space="0" w:color="auto"/>
        <w:bottom w:val="none" w:sz="0" w:space="0" w:color="auto"/>
        <w:right w:val="none" w:sz="0" w:space="0" w:color="auto"/>
      </w:divBdr>
    </w:div>
    <w:div w:id="357777639">
      <w:bodyDiv w:val="1"/>
      <w:marLeft w:val="0"/>
      <w:marRight w:val="0"/>
      <w:marTop w:val="0"/>
      <w:marBottom w:val="0"/>
      <w:divBdr>
        <w:top w:val="none" w:sz="0" w:space="0" w:color="auto"/>
        <w:left w:val="none" w:sz="0" w:space="0" w:color="auto"/>
        <w:bottom w:val="none" w:sz="0" w:space="0" w:color="auto"/>
        <w:right w:val="none" w:sz="0" w:space="0" w:color="auto"/>
      </w:divBdr>
    </w:div>
    <w:div w:id="370151871">
      <w:bodyDiv w:val="1"/>
      <w:marLeft w:val="0"/>
      <w:marRight w:val="0"/>
      <w:marTop w:val="0"/>
      <w:marBottom w:val="0"/>
      <w:divBdr>
        <w:top w:val="none" w:sz="0" w:space="0" w:color="auto"/>
        <w:left w:val="none" w:sz="0" w:space="0" w:color="auto"/>
        <w:bottom w:val="none" w:sz="0" w:space="0" w:color="auto"/>
        <w:right w:val="none" w:sz="0" w:space="0" w:color="auto"/>
      </w:divBdr>
    </w:div>
    <w:div w:id="394739804">
      <w:bodyDiv w:val="1"/>
      <w:marLeft w:val="0"/>
      <w:marRight w:val="0"/>
      <w:marTop w:val="0"/>
      <w:marBottom w:val="0"/>
      <w:divBdr>
        <w:top w:val="none" w:sz="0" w:space="0" w:color="auto"/>
        <w:left w:val="none" w:sz="0" w:space="0" w:color="auto"/>
        <w:bottom w:val="none" w:sz="0" w:space="0" w:color="auto"/>
        <w:right w:val="none" w:sz="0" w:space="0" w:color="auto"/>
      </w:divBdr>
    </w:div>
    <w:div w:id="493497068">
      <w:bodyDiv w:val="1"/>
      <w:marLeft w:val="0"/>
      <w:marRight w:val="0"/>
      <w:marTop w:val="0"/>
      <w:marBottom w:val="0"/>
      <w:divBdr>
        <w:top w:val="none" w:sz="0" w:space="0" w:color="auto"/>
        <w:left w:val="none" w:sz="0" w:space="0" w:color="auto"/>
        <w:bottom w:val="none" w:sz="0" w:space="0" w:color="auto"/>
        <w:right w:val="none" w:sz="0" w:space="0" w:color="auto"/>
      </w:divBdr>
    </w:div>
    <w:div w:id="502090617">
      <w:bodyDiv w:val="1"/>
      <w:marLeft w:val="0"/>
      <w:marRight w:val="0"/>
      <w:marTop w:val="0"/>
      <w:marBottom w:val="0"/>
      <w:divBdr>
        <w:top w:val="none" w:sz="0" w:space="0" w:color="auto"/>
        <w:left w:val="none" w:sz="0" w:space="0" w:color="auto"/>
        <w:bottom w:val="none" w:sz="0" w:space="0" w:color="auto"/>
        <w:right w:val="none" w:sz="0" w:space="0" w:color="auto"/>
      </w:divBdr>
    </w:div>
    <w:div w:id="519248173">
      <w:bodyDiv w:val="1"/>
      <w:marLeft w:val="0"/>
      <w:marRight w:val="0"/>
      <w:marTop w:val="0"/>
      <w:marBottom w:val="0"/>
      <w:divBdr>
        <w:top w:val="none" w:sz="0" w:space="0" w:color="auto"/>
        <w:left w:val="none" w:sz="0" w:space="0" w:color="auto"/>
        <w:bottom w:val="none" w:sz="0" w:space="0" w:color="auto"/>
        <w:right w:val="none" w:sz="0" w:space="0" w:color="auto"/>
      </w:divBdr>
    </w:div>
    <w:div w:id="519248522">
      <w:bodyDiv w:val="1"/>
      <w:marLeft w:val="0"/>
      <w:marRight w:val="0"/>
      <w:marTop w:val="0"/>
      <w:marBottom w:val="0"/>
      <w:divBdr>
        <w:top w:val="none" w:sz="0" w:space="0" w:color="auto"/>
        <w:left w:val="none" w:sz="0" w:space="0" w:color="auto"/>
        <w:bottom w:val="none" w:sz="0" w:space="0" w:color="auto"/>
        <w:right w:val="none" w:sz="0" w:space="0" w:color="auto"/>
      </w:divBdr>
    </w:div>
    <w:div w:id="525754421">
      <w:bodyDiv w:val="1"/>
      <w:marLeft w:val="0"/>
      <w:marRight w:val="0"/>
      <w:marTop w:val="0"/>
      <w:marBottom w:val="0"/>
      <w:divBdr>
        <w:top w:val="none" w:sz="0" w:space="0" w:color="auto"/>
        <w:left w:val="none" w:sz="0" w:space="0" w:color="auto"/>
        <w:bottom w:val="none" w:sz="0" w:space="0" w:color="auto"/>
        <w:right w:val="none" w:sz="0" w:space="0" w:color="auto"/>
      </w:divBdr>
    </w:div>
    <w:div w:id="542593211">
      <w:bodyDiv w:val="1"/>
      <w:marLeft w:val="0"/>
      <w:marRight w:val="0"/>
      <w:marTop w:val="0"/>
      <w:marBottom w:val="0"/>
      <w:divBdr>
        <w:top w:val="none" w:sz="0" w:space="0" w:color="auto"/>
        <w:left w:val="none" w:sz="0" w:space="0" w:color="auto"/>
        <w:bottom w:val="none" w:sz="0" w:space="0" w:color="auto"/>
        <w:right w:val="none" w:sz="0" w:space="0" w:color="auto"/>
      </w:divBdr>
    </w:div>
    <w:div w:id="544368852">
      <w:bodyDiv w:val="1"/>
      <w:marLeft w:val="0"/>
      <w:marRight w:val="0"/>
      <w:marTop w:val="0"/>
      <w:marBottom w:val="0"/>
      <w:divBdr>
        <w:top w:val="none" w:sz="0" w:space="0" w:color="auto"/>
        <w:left w:val="none" w:sz="0" w:space="0" w:color="auto"/>
        <w:bottom w:val="none" w:sz="0" w:space="0" w:color="auto"/>
        <w:right w:val="none" w:sz="0" w:space="0" w:color="auto"/>
      </w:divBdr>
    </w:div>
    <w:div w:id="553664053">
      <w:bodyDiv w:val="1"/>
      <w:marLeft w:val="0"/>
      <w:marRight w:val="0"/>
      <w:marTop w:val="0"/>
      <w:marBottom w:val="0"/>
      <w:divBdr>
        <w:top w:val="none" w:sz="0" w:space="0" w:color="auto"/>
        <w:left w:val="none" w:sz="0" w:space="0" w:color="auto"/>
        <w:bottom w:val="none" w:sz="0" w:space="0" w:color="auto"/>
        <w:right w:val="none" w:sz="0" w:space="0" w:color="auto"/>
      </w:divBdr>
    </w:div>
    <w:div w:id="558323970">
      <w:bodyDiv w:val="1"/>
      <w:marLeft w:val="0"/>
      <w:marRight w:val="0"/>
      <w:marTop w:val="0"/>
      <w:marBottom w:val="0"/>
      <w:divBdr>
        <w:top w:val="none" w:sz="0" w:space="0" w:color="auto"/>
        <w:left w:val="none" w:sz="0" w:space="0" w:color="auto"/>
        <w:bottom w:val="none" w:sz="0" w:space="0" w:color="auto"/>
        <w:right w:val="none" w:sz="0" w:space="0" w:color="auto"/>
      </w:divBdr>
    </w:div>
    <w:div w:id="565186725">
      <w:bodyDiv w:val="1"/>
      <w:marLeft w:val="0"/>
      <w:marRight w:val="0"/>
      <w:marTop w:val="0"/>
      <w:marBottom w:val="0"/>
      <w:divBdr>
        <w:top w:val="none" w:sz="0" w:space="0" w:color="auto"/>
        <w:left w:val="none" w:sz="0" w:space="0" w:color="auto"/>
        <w:bottom w:val="none" w:sz="0" w:space="0" w:color="auto"/>
        <w:right w:val="none" w:sz="0" w:space="0" w:color="auto"/>
      </w:divBdr>
    </w:div>
    <w:div w:id="591477200">
      <w:bodyDiv w:val="1"/>
      <w:marLeft w:val="0"/>
      <w:marRight w:val="0"/>
      <w:marTop w:val="0"/>
      <w:marBottom w:val="0"/>
      <w:divBdr>
        <w:top w:val="none" w:sz="0" w:space="0" w:color="auto"/>
        <w:left w:val="none" w:sz="0" w:space="0" w:color="auto"/>
        <w:bottom w:val="none" w:sz="0" w:space="0" w:color="auto"/>
        <w:right w:val="none" w:sz="0" w:space="0" w:color="auto"/>
      </w:divBdr>
    </w:div>
    <w:div w:id="618729023">
      <w:bodyDiv w:val="1"/>
      <w:marLeft w:val="0"/>
      <w:marRight w:val="0"/>
      <w:marTop w:val="0"/>
      <w:marBottom w:val="0"/>
      <w:divBdr>
        <w:top w:val="none" w:sz="0" w:space="0" w:color="auto"/>
        <w:left w:val="none" w:sz="0" w:space="0" w:color="auto"/>
        <w:bottom w:val="none" w:sz="0" w:space="0" w:color="auto"/>
        <w:right w:val="none" w:sz="0" w:space="0" w:color="auto"/>
      </w:divBdr>
    </w:div>
    <w:div w:id="655383482">
      <w:bodyDiv w:val="1"/>
      <w:marLeft w:val="0"/>
      <w:marRight w:val="0"/>
      <w:marTop w:val="0"/>
      <w:marBottom w:val="0"/>
      <w:divBdr>
        <w:top w:val="none" w:sz="0" w:space="0" w:color="auto"/>
        <w:left w:val="none" w:sz="0" w:space="0" w:color="auto"/>
        <w:bottom w:val="none" w:sz="0" w:space="0" w:color="auto"/>
        <w:right w:val="none" w:sz="0" w:space="0" w:color="auto"/>
      </w:divBdr>
    </w:div>
    <w:div w:id="743188723">
      <w:bodyDiv w:val="1"/>
      <w:marLeft w:val="0"/>
      <w:marRight w:val="0"/>
      <w:marTop w:val="0"/>
      <w:marBottom w:val="0"/>
      <w:divBdr>
        <w:top w:val="none" w:sz="0" w:space="0" w:color="auto"/>
        <w:left w:val="none" w:sz="0" w:space="0" w:color="auto"/>
        <w:bottom w:val="none" w:sz="0" w:space="0" w:color="auto"/>
        <w:right w:val="none" w:sz="0" w:space="0" w:color="auto"/>
      </w:divBdr>
    </w:div>
    <w:div w:id="753016815">
      <w:bodyDiv w:val="1"/>
      <w:marLeft w:val="0"/>
      <w:marRight w:val="0"/>
      <w:marTop w:val="0"/>
      <w:marBottom w:val="0"/>
      <w:divBdr>
        <w:top w:val="none" w:sz="0" w:space="0" w:color="auto"/>
        <w:left w:val="none" w:sz="0" w:space="0" w:color="auto"/>
        <w:bottom w:val="none" w:sz="0" w:space="0" w:color="auto"/>
        <w:right w:val="none" w:sz="0" w:space="0" w:color="auto"/>
      </w:divBdr>
    </w:div>
    <w:div w:id="757676000">
      <w:bodyDiv w:val="1"/>
      <w:marLeft w:val="0"/>
      <w:marRight w:val="0"/>
      <w:marTop w:val="0"/>
      <w:marBottom w:val="0"/>
      <w:divBdr>
        <w:top w:val="none" w:sz="0" w:space="0" w:color="auto"/>
        <w:left w:val="none" w:sz="0" w:space="0" w:color="auto"/>
        <w:bottom w:val="none" w:sz="0" w:space="0" w:color="auto"/>
        <w:right w:val="none" w:sz="0" w:space="0" w:color="auto"/>
      </w:divBdr>
    </w:div>
    <w:div w:id="760757267">
      <w:bodyDiv w:val="1"/>
      <w:marLeft w:val="0"/>
      <w:marRight w:val="0"/>
      <w:marTop w:val="0"/>
      <w:marBottom w:val="0"/>
      <w:divBdr>
        <w:top w:val="none" w:sz="0" w:space="0" w:color="auto"/>
        <w:left w:val="none" w:sz="0" w:space="0" w:color="auto"/>
        <w:bottom w:val="none" w:sz="0" w:space="0" w:color="auto"/>
        <w:right w:val="none" w:sz="0" w:space="0" w:color="auto"/>
      </w:divBdr>
    </w:div>
    <w:div w:id="796527288">
      <w:bodyDiv w:val="1"/>
      <w:marLeft w:val="0"/>
      <w:marRight w:val="0"/>
      <w:marTop w:val="0"/>
      <w:marBottom w:val="0"/>
      <w:divBdr>
        <w:top w:val="none" w:sz="0" w:space="0" w:color="auto"/>
        <w:left w:val="none" w:sz="0" w:space="0" w:color="auto"/>
        <w:bottom w:val="none" w:sz="0" w:space="0" w:color="auto"/>
        <w:right w:val="none" w:sz="0" w:space="0" w:color="auto"/>
      </w:divBdr>
    </w:div>
    <w:div w:id="817258520">
      <w:bodyDiv w:val="1"/>
      <w:marLeft w:val="0"/>
      <w:marRight w:val="0"/>
      <w:marTop w:val="0"/>
      <w:marBottom w:val="0"/>
      <w:divBdr>
        <w:top w:val="none" w:sz="0" w:space="0" w:color="auto"/>
        <w:left w:val="none" w:sz="0" w:space="0" w:color="auto"/>
        <w:bottom w:val="none" w:sz="0" w:space="0" w:color="auto"/>
        <w:right w:val="none" w:sz="0" w:space="0" w:color="auto"/>
      </w:divBdr>
    </w:div>
    <w:div w:id="835387627">
      <w:bodyDiv w:val="1"/>
      <w:marLeft w:val="0"/>
      <w:marRight w:val="0"/>
      <w:marTop w:val="0"/>
      <w:marBottom w:val="0"/>
      <w:divBdr>
        <w:top w:val="none" w:sz="0" w:space="0" w:color="auto"/>
        <w:left w:val="none" w:sz="0" w:space="0" w:color="auto"/>
        <w:bottom w:val="none" w:sz="0" w:space="0" w:color="auto"/>
        <w:right w:val="none" w:sz="0" w:space="0" w:color="auto"/>
      </w:divBdr>
    </w:div>
    <w:div w:id="842161755">
      <w:bodyDiv w:val="1"/>
      <w:marLeft w:val="0"/>
      <w:marRight w:val="0"/>
      <w:marTop w:val="0"/>
      <w:marBottom w:val="0"/>
      <w:divBdr>
        <w:top w:val="none" w:sz="0" w:space="0" w:color="auto"/>
        <w:left w:val="none" w:sz="0" w:space="0" w:color="auto"/>
        <w:bottom w:val="none" w:sz="0" w:space="0" w:color="auto"/>
        <w:right w:val="none" w:sz="0" w:space="0" w:color="auto"/>
      </w:divBdr>
    </w:div>
    <w:div w:id="853878521">
      <w:bodyDiv w:val="1"/>
      <w:marLeft w:val="0"/>
      <w:marRight w:val="0"/>
      <w:marTop w:val="0"/>
      <w:marBottom w:val="0"/>
      <w:divBdr>
        <w:top w:val="none" w:sz="0" w:space="0" w:color="auto"/>
        <w:left w:val="none" w:sz="0" w:space="0" w:color="auto"/>
        <w:bottom w:val="none" w:sz="0" w:space="0" w:color="auto"/>
        <w:right w:val="none" w:sz="0" w:space="0" w:color="auto"/>
      </w:divBdr>
    </w:div>
    <w:div w:id="876544980">
      <w:bodyDiv w:val="1"/>
      <w:marLeft w:val="0"/>
      <w:marRight w:val="0"/>
      <w:marTop w:val="0"/>
      <w:marBottom w:val="0"/>
      <w:divBdr>
        <w:top w:val="none" w:sz="0" w:space="0" w:color="auto"/>
        <w:left w:val="none" w:sz="0" w:space="0" w:color="auto"/>
        <w:bottom w:val="none" w:sz="0" w:space="0" w:color="auto"/>
        <w:right w:val="none" w:sz="0" w:space="0" w:color="auto"/>
      </w:divBdr>
    </w:div>
    <w:div w:id="879978678">
      <w:bodyDiv w:val="1"/>
      <w:marLeft w:val="0"/>
      <w:marRight w:val="0"/>
      <w:marTop w:val="0"/>
      <w:marBottom w:val="0"/>
      <w:divBdr>
        <w:top w:val="none" w:sz="0" w:space="0" w:color="auto"/>
        <w:left w:val="none" w:sz="0" w:space="0" w:color="auto"/>
        <w:bottom w:val="none" w:sz="0" w:space="0" w:color="auto"/>
        <w:right w:val="none" w:sz="0" w:space="0" w:color="auto"/>
      </w:divBdr>
    </w:div>
    <w:div w:id="892622953">
      <w:bodyDiv w:val="1"/>
      <w:marLeft w:val="0"/>
      <w:marRight w:val="0"/>
      <w:marTop w:val="0"/>
      <w:marBottom w:val="0"/>
      <w:divBdr>
        <w:top w:val="none" w:sz="0" w:space="0" w:color="auto"/>
        <w:left w:val="none" w:sz="0" w:space="0" w:color="auto"/>
        <w:bottom w:val="none" w:sz="0" w:space="0" w:color="auto"/>
        <w:right w:val="none" w:sz="0" w:space="0" w:color="auto"/>
      </w:divBdr>
    </w:div>
    <w:div w:id="902721730">
      <w:bodyDiv w:val="1"/>
      <w:marLeft w:val="0"/>
      <w:marRight w:val="0"/>
      <w:marTop w:val="0"/>
      <w:marBottom w:val="0"/>
      <w:divBdr>
        <w:top w:val="none" w:sz="0" w:space="0" w:color="auto"/>
        <w:left w:val="none" w:sz="0" w:space="0" w:color="auto"/>
        <w:bottom w:val="none" w:sz="0" w:space="0" w:color="auto"/>
        <w:right w:val="none" w:sz="0" w:space="0" w:color="auto"/>
      </w:divBdr>
    </w:div>
    <w:div w:id="904534654">
      <w:bodyDiv w:val="1"/>
      <w:marLeft w:val="0"/>
      <w:marRight w:val="0"/>
      <w:marTop w:val="0"/>
      <w:marBottom w:val="0"/>
      <w:divBdr>
        <w:top w:val="none" w:sz="0" w:space="0" w:color="auto"/>
        <w:left w:val="none" w:sz="0" w:space="0" w:color="auto"/>
        <w:bottom w:val="none" w:sz="0" w:space="0" w:color="auto"/>
        <w:right w:val="none" w:sz="0" w:space="0" w:color="auto"/>
      </w:divBdr>
    </w:div>
    <w:div w:id="922832848">
      <w:bodyDiv w:val="1"/>
      <w:marLeft w:val="0"/>
      <w:marRight w:val="0"/>
      <w:marTop w:val="0"/>
      <w:marBottom w:val="0"/>
      <w:divBdr>
        <w:top w:val="none" w:sz="0" w:space="0" w:color="auto"/>
        <w:left w:val="none" w:sz="0" w:space="0" w:color="auto"/>
        <w:bottom w:val="none" w:sz="0" w:space="0" w:color="auto"/>
        <w:right w:val="none" w:sz="0" w:space="0" w:color="auto"/>
      </w:divBdr>
    </w:div>
    <w:div w:id="924876124">
      <w:bodyDiv w:val="1"/>
      <w:marLeft w:val="0"/>
      <w:marRight w:val="0"/>
      <w:marTop w:val="0"/>
      <w:marBottom w:val="0"/>
      <w:divBdr>
        <w:top w:val="none" w:sz="0" w:space="0" w:color="auto"/>
        <w:left w:val="none" w:sz="0" w:space="0" w:color="auto"/>
        <w:bottom w:val="none" w:sz="0" w:space="0" w:color="auto"/>
        <w:right w:val="none" w:sz="0" w:space="0" w:color="auto"/>
      </w:divBdr>
    </w:div>
    <w:div w:id="958144553">
      <w:bodyDiv w:val="1"/>
      <w:marLeft w:val="0"/>
      <w:marRight w:val="0"/>
      <w:marTop w:val="0"/>
      <w:marBottom w:val="0"/>
      <w:divBdr>
        <w:top w:val="none" w:sz="0" w:space="0" w:color="auto"/>
        <w:left w:val="none" w:sz="0" w:space="0" w:color="auto"/>
        <w:bottom w:val="none" w:sz="0" w:space="0" w:color="auto"/>
        <w:right w:val="none" w:sz="0" w:space="0" w:color="auto"/>
      </w:divBdr>
    </w:div>
    <w:div w:id="967662140">
      <w:bodyDiv w:val="1"/>
      <w:marLeft w:val="0"/>
      <w:marRight w:val="0"/>
      <w:marTop w:val="0"/>
      <w:marBottom w:val="0"/>
      <w:divBdr>
        <w:top w:val="none" w:sz="0" w:space="0" w:color="auto"/>
        <w:left w:val="none" w:sz="0" w:space="0" w:color="auto"/>
        <w:bottom w:val="none" w:sz="0" w:space="0" w:color="auto"/>
        <w:right w:val="none" w:sz="0" w:space="0" w:color="auto"/>
      </w:divBdr>
    </w:div>
    <w:div w:id="970092719">
      <w:bodyDiv w:val="1"/>
      <w:marLeft w:val="0"/>
      <w:marRight w:val="0"/>
      <w:marTop w:val="0"/>
      <w:marBottom w:val="0"/>
      <w:divBdr>
        <w:top w:val="none" w:sz="0" w:space="0" w:color="auto"/>
        <w:left w:val="none" w:sz="0" w:space="0" w:color="auto"/>
        <w:bottom w:val="none" w:sz="0" w:space="0" w:color="auto"/>
        <w:right w:val="none" w:sz="0" w:space="0" w:color="auto"/>
      </w:divBdr>
    </w:div>
    <w:div w:id="991327267">
      <w:bodyDiv w:val="1"/>
      <w:marLeft w:val="0"/>
      <w:marRight w:val="0"/>
      <w:marTop w:val="0"/>
      <w:marBottom w:val="0"/>
      <w:divBdr>
        <w:top w:val="none" w:sz="0" w:space="0" w:color="auto"/>
        <w:left w:val="none" w:sz="0" w:space="0" w:color="auto"/>
        <w:bottom w:val="none" w:sz="0" w:space="0" w:color="auto"/>
        <w:right w:val="none" w:sz="0" w:space="0" w:color="auto"/>
      </w:divBdr>
    </w:div>
    <w:div w:id="1034038316">
      <w:bodyDiv w:val="1"/>
      <w:marLeft w:val="0"/>
      <w:marRight w:val="0"/>
      <w:marTop w:val="0"/>
      <w:marBottom w:val="0"/>
      <w:divBdr>
        <w:top w:val="none" w:sz="0" w:space="0" w:color="auto"/>
        <w:left w:val="none" w:sz="0" w:space="0" w:color="auto"/>
        <w:bottom w:val="none" w:sz="0" w:space="0" w:color="auto"/>
        <w:right w:val="none" w:sz="0" w:space="0" w:color="auto"/>
      </w:divBdr>
    </w:div>
    <w:div w:id="1039015800">
      <w:bodyDiv w:val="1"/>
      <w:marLeft w:val="0"/>
      <w:marRight w:val="0"/>
      <w:marTop w:val="0"/>
      <w:marBottom w:val="0"/>
      <w:divBdr>
        <w:top w:val="none" w:sz="0" w:space="0" w:color="auto"/>
        <w:left w:val="none" w:sz="0" w:space="0" w:color="auto"/>
        <w:bottom w:val="none" w:sz="0" w:space="0" w:color="auto"/>
        <w:right w:val="none" w:sz="0" w:space="0" w:color="auto"/>
      </w:divBdr>
    </w:div>
    <w:div w:id="1039820831">
      <w:bodyDiv w:val="1"/>
      <w:marLeft w:val="0"/>
      <w:marRight w:val="0"/>
      <w:marTop w:val="0"/>
      <w:marBottom w:val="0"/>
      <w:divBdr>
        <w:top w:val="none" w:sz="0" w:space="0" w:color="auto"/>
        <w:left w:val="none" w:sz="0" w:space="0" w:color="auto"/>
        <w:bottom w:val="none" w:sz="0" w:space="0" w:color="auto"/>
        <w:right w:val="none" w:sz="0" w:space="0" w:color="auto"/>
      </w:divBdr>
    </w:div>
    <w:div w:id="1053962918">
      <w:bodyDiv w:val="1"/>
      <w:marLeft w:val="0"/>
      <w:marRight w:val="0"/>
      <w:marTop w:val="0"/>
      <w:marBottom w:val="0"/>
      <w:divBdr>
        <w:top w:val="none" w:sz="0" w:space="0" w:color="auto"/>
        <w:left w:val="none" w:sz="0" w:space="0" w:color="auto"/>
        <w:bottom w:val="none" w:sz="0" w:space="0" w:color="auto"/>
        <w:right w:val="none" w:sz="0" w:space="0" w:color="auto"/>
      </w:divBdr>
    </w:div>
    <w:div w:id="1058092385">
      <w:bodyDiv w:val="1"/>
      <w:marLeft w:val="0"/>
      <w:marRight w:val="0"/>
      <w:marTop w:val="0"/>
      <w:marBottom w:val="0"/>
      <w:divBdr>
        <w:top w:val="none" w:sz="0" w:space="0" w:color="auto"/>
        <w:left w:val="none" w:sz="0" w:space="0" w:color="auto"/>
        <w:bottom w:val="none" w:sz="0" w:space="0" w:color="auto"/>
        <w:right w:val="none" w:sz="0" w:space="0" w:color="auto"/>
      </w:divBdr>
    </w:div>
    <w:div w:id="1068848952">
      <w:bodyDiv w:val="1"/>
      <w:marLeft w:val="0"/>
      <w:marRight w:val="0"/>
      <w:marTop w:val="0"/>
      <w:marBottom w:val="0"/>
      <w:divBdr>
        <w:top w:val="none" w:sz="0" w:space="0" w:color="auto"/>
        <w:left w:val="none" w:sz="0" w:space="0" w:color="auto"/>
        <w:bottom w:val="none" w:sz="0" w:space="0" w:color="auto"/>
        <w:right w:val="none" w:sz="0" w:space="0" w:color="auto"/>
      </w:divBdr>
    </w:div>
    <w:div w:id="1074549390">
      <w:bodyDiv w:val="1"/>
      <w:marLeft w:val="0"/>
      <w:marRight w:val="0"/>
      <w:marTop w:val="0"/>
      <w:marBottom w:val="0"/>
      <w:divBdr>
        <w:top w:val="none" w:sz="0" w:space="0" w:color="auto"/>
        <w:left w:val="none" w:sz="0" w:space="0" w:color="auto"/>
        <w:bottom w:val="none" w:sz="0" w:space="0" w:color="auto"/>
        <w:right w:val="none" w:sz="0" w:space="0" w:color="auto"/>
      </w:divBdr>
    </w:div>
    <w:div w:id="1092508778">
      <w:bodyDiv w:val="1"/>
      <w:marLeft w:val="0"/>
      <w:marRight w:val="0"/>
      <w:marTop w:val="0"/>
      <w:marBottom w:val="0"/>
      <w:divBdr>
        <w:top w:val="none" w:sz="0" w:space="0" w:color="auto"/>
        <w:left w:val="none" w:sz="0" w:space="0" w:color="auto"/>
        <w:bottom w:val="none" w:sz="0" w:space="0" w:color="auto"/>
        <w:right w:val="none" w:sz="0" w:space="0" w:color="auto"/>
      </w:divBdr>
    </w:div>
    <w:div w:id="1126585445">
      <w:bodyDiv w:val="1"/>
      <w:marLeft w:val="0"/>
      <w:marRight w:val="0"/>
      <w:marTop w:val="0"/>
      <w:marBottom w:val="0"/>
      <w:divBdr>
        <w:top w:val="none" w:sz="0" w:space="0" w:color="auto"/>
        <w:left w:val="none" w:sz="0" w:space="0" w:color="auto"/>
        <w:bottom w:val="none" w:sz="0" w:space="0" w:color="auto"/>
        <w:right w:val="none" w:sz="0" w:space="0" w:color="auto"/>
      </w:divBdr>
    </w:div>
    <w:div w:id="1160777280">
      <w:bodyDiv w:val="1"/>
      <w:marLeft w:val="0"/>
      <w:marRight w:val="0"/>
      <w:marTop w:val="0"/>
      <w:marBottom w:val="0"/>
      <w:divBdr>
        <w:top w:val="none" w:sz="0" w:space="0" w:color="auto"/>
        <w:left w:val="none" w:sz="0" w:space="0" w:color="auto"/>
        <w:bottom w:val="none" w:sz="0" w:space="0" w:color="auto"/>
        <w:right w:val="none" w:sz="0" w:space="0" w:color="auto"/>
      </w:divBdr>
    </w:div>
    <w:div w:id="1183594978">
      <w:bodyDiv w:val="1"/>
      <w:marLeft w:val="0"/>
      <w:marRight w:val="0"/>
      <w:marTop w:val="0"/>
      <w:marBottom w:val="0"/>
      <w:divBdr>
        <w:top w:val="none" w:sz="0" w:space="0" w:color="auto"/>
        <w:left w:val="none" w:sz="0" w:space="0" w:color="auto"/>
        <w:bottom w:val="none" w:sz="0" w:space="0" w:color="auto"/>
        <w:right w:val="none" w:sz="0" w:space="0" w:color="auto"/>
      </w:divBdr>
    </w:div>
    <w:div w:id="1216505527">
      <w:bodyDiv w:val="1"/>
      <w:marLeft w:val="0"/>
      <w:marRight w:val="0"/>
      <w:marTop w:val="0"/>
      <w:marBottom w:val="0"/>
      <w:divBdr>
        <w:top w:val="none" w:sz="0" w:space="0" w:color="auto"/>
        <w:left w:val="none" w:sz="0" w:space="0" w:color="auto"/>
        <w:bottom w:val="none" w:sz="0" w:space="0" w:color="auto"/>
        <w:right w:val="none" w:sz="0" w:space="0" w:color="auto"/>
      </w:divBdr>
    </w:div>
    <w:div w:id="1230655876">
      <w:bodyDiv w:val="1"/>
      <w:marLeft w:val="0"/>
      <w:marRight w:val="0"/>
      <w:marTop w:val="0"/>
      <w:marBottom w:val="0"/>
      <w:divBdr>
        <w:top w:val="none" w:sz="0" w:space="0" w:color="auto"/>
        <w:left w:val="none" w:sz="0" w:space="0" w:color="auto"/>
        <w:bottom w:val="none" w:sz="0" w:space="0" w:color="auto"/>
        <w:right w:val="none" w:sz="0" w:space="0" w:color="auto"/>
      </w:divBdr>
    </w:div>
    <w:div w:id="1246189450">
      <w:bodyDiv w:val="1"/>
      <w:marLeft w:val="0"/>
      <w:marRight w:val="0"/>
      <w:marTop w:val="0"/>
      <w:marBottom w:val="0"/>
      <w:divBdr>
        <w:top w:val="none" w:sz="0" w:space="0" w:color="auto"/>
        <w:left w:val="none" w:sz="0" w:space="0" w:color="auto"/>
        <w:bottom w:val="none" w:sz="0" w:space="0" w:color="auto"/>
        <w:right w:val="none" w:sz="0" w:space="0" w:color="auto"/>
      </w:divBdr>
    </w:div>
    <w:div w:id="1297957139">
      <w:bodyDiv w:val="1"/>
      <w:marLeft w:val="0"/>
      <w:marRight w:val="0"/>
      <w:marTop w:val="0"/>
      <w:marBottom w:val="0"/>
      <w:divBdr>
        <w:top w:val="none" w:sz="0" w:space="0" w:color="auto"/>
        <w:left w:val="none" w:sz="0" w:space="0" w:color="auto"/>
        <w:bottom w:val="none" w:sz="0" w:space="0" w:color="auto"/>
        <w:right w:val="none" w:sz="0" w:space="0" w:color="auto"/>
      </w:divBdr>
    </w:div>
    <w:div w:id="1300838294">
      <w:bodyDiv w:val="1"/>
      <w:marLeft w:val="0"/>
      <w:marRight w:val="0"/>
      <w:marTop w:val="0"/>
      <w:marBottom w:val="0"/>
      <w:divBdr>
        <w:top w:val="none" w:sz="0" w:space="0" w:color="auto"/>
        <w:left w:val="none" w:sz="0" w:space="0" w:color="auto"/>
        <w:bottom w:val="none" w:sz="0" w:space="0" w:color="auto"/>
        <w:right w:val="none" w:sz="0" w:space="0" w:color="auto"/>
      </w:divBdr>
    </w:div>
    <w:div w:id="1365718268">
      <w:bodyDiv w:val="1"/>
      <w:marLeft w:val="0"/>
      <w:marRight w:val="0"/>
      <w:marTop w:val="0"/>
      <w:marBottom w:val="0"/>
      <w:divBdr>
        <w:top w:val="none" w:sz="0" w:space="0" w:color="auto"/>
        <w:left w:val="none" w:sz="0" w:space="0" w:color="auto"/>
        <w:bottom w:val="none" w:sz="0" w:space="0" w:color="auto"/>
        <w:right w:val="none" w:sz="0" w:space="0" w:color="auto"/>
      </w:divBdr>
    </w:div>
    <w:div w:id="1367876485">
      <w:bodyDiv w:val="1"/>
      <w:marLeft w:val="0"/>
      <w:marRight w:val="0"/>
      <w:marTop w:val="0"/>
      <w:marBottom w:val="0"/>
      <w:divBdr>
        <w:top w:val="none" w:sz="0" w:space="0" w:color="auto"/>
        <w:left w:val="none" w:sz="0" w:space="0" w:color="auto"/>
        <w:bottom w:val="none" w:sz="0" w:space="0" w:color="auto"/>
        <w:right w:val="none" w:sz="0" w:space="0" w:color="auto"/>
      </w:divBdr>
    </w:div>
    <w:div w:id="1373113498">
      <w:bodyDiv w:val="1"/>
      <w:marLeft w:val="0"/>
      <w:marRight w:val="0"/>
      <w:marTop w:val="0"/>
      <w:marBottom w:val="0"/>
      <w:divBdr>
        <w:top w:val="none" w:sz="0" w:space="0" w:color="auto"/>
        <w:left w:val="none" w:sz="0" w:space="0" w:color="auto"/>
        <w:bottom w:val="none" w:sz="0" w:space="0" w:color="auto"/>
        <w:right w:val="none" w:sz="0" w:space="0" w:color="auto"/>
      </w:divBdr>
    </w:div>
    <w:div w:id="1382942173">
      <w:bodyDiv w:val="1"/>
      <w:marLeft w:val="0"/>
      <w:marRight w:val="0"/>
      <w:marTop w:val="0"/>
      <w:marBottom w:val="0"/>
      <w:divBdr>
        <w:top w:val="none" w:sz="0" w:space="0" w:color="auto"/>
        <w:left w:val="none" w:sz="0" w:space="0" w:color="auto"/>
        <w:bottom w:val="none" w:sz="0" w:space="0" w:color="auto"/>
        <w:right w:val="none" w:sz="0" w:space="0" w:color="auto"/>
      </w:divBdr>
    </w:div>
    <w:div w:id="1395197438">
      <w:bodyDiv w:val="1"/>
      <w:marLeft w:val="0"/>
      <w:marRight w:val="0"/>
      <w:marTop w:val="0"/>
      <w:marBottom w:val="0"/>
      <w:divBdr>
        <w:top w:val="none" w:sz="0" w:space="0" w:color="auto"/>
        <w:left w:val="none" w:sz="0" w:space="0" w:color="auto"/>
        <w:bottom w:val="none" w:sz="0" w:space="0" w:color="auto"/>
        <w:right w:val="none" w:sz="0" w:space="0" w:color="auto"/>
      </w:divBdr>
    </w:div>
    <w:div w:id="1403719386">
      <w:bodyDiv w:val="1"/>
      <w:marLeft w:val="0"/>
      <w:marRight w:val="0"/>
      <w:marTop w:val="0"/>
      <w:marBottom w:val="0"/>
      <w:divBdr>
        <w:top w:val="none" w:sz="0" w:space="0" w:color="auto"/>
        <w:left w:val="none" w:sz="0" w:space="0" w:color="auto"/>
        <w:bottom w:val="none" w:sz="0" w:space="0" w:color="auto"/>
        <w:right w:val="none" w:sz="0" w:space="0" w:color="auto"/>
      </w:divBdr>
    </w:div>
    <w:div w:id="1453357011">
      <w:bodyDiv w:val="1"/>
      <w:marLeft w:val="0"/>
      <w:marRight w:val="0"/>
      <w:marTop w:val="0"/>
      <w:marBottom w:val="0"/>
      <w:divBdr>
        <w:top w:val="none" w:sz="0" w:space="0" w:color="auto"/>
        <w:left w:val="none" w:sz="0" w:space="0" w:color="auto"/>
        <w:bottom w:val="none" w:sz="0" w:space="0" w:color="auto"/>
        <w:right w:val="none" w:sz="0" w:space="0" w:color="auto"/>
      </w:divBdr>
    </w:div>
    <w:div w:id="1462772532">
      <w:bodyDiv w:val="1"/>
      <w:marLeft w:val="0"/>
      <w:marRight w:val="0"/>
      <w:marTop w:val="0"/>
      <w:marBottom w:val="0"/>
      <w:divBdr>
        <w:top w:val="none" w:sz="0" w:space="0" w:color="auto"/>
        <w:left w:val="none" w:sz="0" w:space="0" w:color="auto"/>
        <w:bottom w:val="none" w:sz="0" w:space="0" w:color="auto"/>
        <w:right w:val="none" w:sz="0" w:space="0" w:color="auto"/>
      </w:divBdr>
    </w:div>
    <w:div w:id="1476527457">
      <w:bodyDiv w:val="1"/>
      <w:marLeft w:val="0"/>
      <w:marRight w:val="0"/>
      <w:marTop w:val="0"/>
      <w:marBottom w:val="0"/>
      <w:divBdr>
        <w:top w:val="none" w:sz="0" w:space="0" w:color="auto"/>
        <w:left w:val="none" w:sz="0" w:space="0" w:color="auto"/>
        <w:bottom w:val="none" w:sz="0" w:space="0" w:color="auto"/>
        <w:right w:val="none" w:sz="0" w:space="0" w:color="auto"/>
      </w:divBdr>
    </w:div>
    <w:div w:id="1492335269">
      <w:bodyDiv w:val="1"/>
      <w:marLeft w:val="0"/>
      <w:marRight w:val="0"/>
      <w:marTop w:val="0"/>
      <w:marBottom w:val="0"/>
      <w:divBdr>
        <w:top w:val="none" w:sz="0" w:space="0" w:color="auto"/>
        <w:left w:val="none" w:sz="0" w:space="0" w:color="auto"/>
        <w:bottom w:val="none" w:sz="0" w:space="0" w:color="auto"/>
        <w:right w:val="none" w:sz="0" w:space="0" w:color="auto"/>
      </w:divBdr>
    </w:div>
    <w:div w:id="1509370838">
      <w:bodyDiv w:val="1"/>
      <w:marLeft w:val="0"/>
      <w:marRight w:val="0"/>
      <w:marTop w:val="0"/>
      <w:marBottom w:val="0"/>
      <w:divBdr>
        <w:top w:val="none" w:sz="0" w:space="0" w:color="auto"/>
        <w:left w:val="none" w:sz="0" w:space="0" w:color="auto"/>
        <w:bottom w:val="none" w:sz="0" w:space="0" w:color="auto"/>
        <w:right w:val="none" w:sz="0" w:space="0" w:color="auto"/>
      </w:divBdr>
    </w:div>
    <w:div w:id="1522434031">
      <w:bodyDiv w:val="1"/>
      <w:marLeft w:val="0"/>
      <w:marRight w:val="0"/>
      <w:marTop w:val="0"/>
      <w:marBottom w:val="0"/>
      <w:divBdr>
        <w:top w:val="none" w:sz="0" w:space="0" w:color="auto"/>
        <w:left w:val="none" w:sz="0" w:space="0" w:color="auto"/>
        <w:bottom w:val="none" w:sz="0" w:space="0" w:color="auto"/>
        <w:right w:val="none" w:sz="0" w:space="0" w:color="auto"/>
      </w:divBdr>
    </w:div>
    <w:div w:id="1542857959">
      <w:bodyDiv w:val="1"/>
      <w:marLeft w:val="0"/>
      <w:marRight w:val="0"/>
      <w:marTop w:val="0"/>
      <w:marBottom w:val="0"/>
      <w:divBdr>
        <w:top w:val="none" w:sz="0" w:space="0" w:color="auto"/>
        <w:left w:val="none" w:sz="0" w:space="0" w:color="auto"/>
        <w:bottom w:val="none" w:sz="0" w:space="0" w:color="auto"/>
        <w:right w:val="none" w:sz="0" w:space="0" w:color="auto"/>
      </w:divBdr>
    </w:div>
    <w:div w:id="1568372267">
      <w:bodyDiv w:val="1"/>
      <w:marLeft w:val="0"/>
      <w:marRight w:val="0"/>
      <w:marTop w:val="0"/>
      <w:marBottom w:val="0"/>
      <w:divBdr>
        <w:top w:val="none" w:sz="0" w:space="0" w:color="auto"/>
        <w:left w:val="none" w:sz="0" w:space="0" w:color="auto"/>
        <w:bottom w:val="none" w:sz="0" w:space="0" w:color="auto"/>
        <w:right w:val="none" w:sz="0" w:space="0" w:color="auto"/>
      </w:divBdr>
    </w:div>
    <w:div w:id="1581329824">
      <w:bodyDiv w:val="1"/>
      <w:marLeft w:val="0"/>
      <w:marRight w:val="0"/>
      <w:marTop w:val="0"/>
      <w:marBottom w:val="0"/>
      <w:divBdr>
        <w:top w:val="none" w:sz="0" w:space="0" w:color="auto"/>
        <w:left w:val="none" w:sz="0" w:space="0" w:color="auto"/>
        <w:bottom w:val="none" w:sz="0" w:space="0" w:color="auto"/>
        <w:right w:val="none" w:sz="0" w:space="0" w:color="auto"/>
      </w:divBdr>
    </w:div>
    <w:div w:id="1607225739">
      <w:bodyDiv w:val="1"/>
      <w:marLeft w:val="0"/>
      <w:marRight w:val="0"/>
      <w:marTop w:val="0"/>
      <w:marBottom w:val="0"/>
      <w:divBdr>
        <w:top w:val="none" w:sz="0" w:space="0" w:color="auto"/>
        <w:left w:val="none" w:sz="0" w:space="0" w:color="auto"/>
        <w:bottom w:val="none" w:sz="0" w:space="0" w:color="auto"/>
        <w:right w:val="none" w:sz="0" w:space="0" w:color="auto"/>
      </w:divBdr>
    </w:div>
    <w:div w:id="1612200253">
      <w:bodyDiv w:val="1"/>
      <w:marLeft w:val="0"/>
      <w:marRight w:val="0"/>
      <w:marTop w:val="0"/>
      <w:marBottom w:val="0"/>
      <w:divBdr>
        <w:top w:val="none" w:sz="0" w:space="0" w:color="auto"/>
        <w:left w:val="none" w:sz="0" w:space="0" w:color="auto"/>
        <w:bottom w:val="none" w:sz="0" w:space="0" w:color="auto"/>
        <w:right w:val="none" w:sz="0" w:space="0" w:color="auto"/>
      </w:divBdr>
    </w:div>
    <w:div w:id="1622178445">
      <w:bodyDiv w:val="1"/>
      <w:marLeft w:val="0"/>
      <w:marRight w:val="0"/>
      <w:marTop w:val="0"/>
      <w:marBottom w:val="0"/>
      <w:divBdr>
        <w:top w:val="none" w:sz="0" w:space="0" w:color="auto"/>
        <w:left w:val="none" w:sz="0" w:space="0" w:color="auto"/>
        <w:bottom w:val="none" w:sz="0" w:space="0" w:color="auto"/>
        <w:right w:val="none" w:sz="0" w:space="0" w:color="auto"/>
      </w:divBdr>
    </w:div>
    <w:div w:id="1628851429">
      <w:bodyDiv w:val="1"/>
      <w:marLeft w:val="0"/>
      <w:marRight w:val="0"/>
      <w:marTop w:val="0"/>
      <w:marBottom w:val="0"/>
      <w:divBdr>
        <w:top w:val="none" w:sz="0" w:space="0" w:color="auto"/>
        <w:left w:val="none" w:sz="0" w:space="0" w:color="auto"/>
        <w:bottom w:val="none" w:sz="0" w:space="0" w:color="auto"/>
        <w:right w:val="none" w:sz="0" w:space="0" w:color="auto"/>
      </w:divBdr>
    </w:div>
    <w:div w:id="1652901432">
      <w:bodyDiv w:val="1"/>
      <w:marLeft w:val="0"/>
      <w:marRight w:val="0"/>
      <w:marTop w:val="0"/>
      <w:marBottom w:val="0"/>
      <w:divBdr>
        <w:top w:val="none" w:sz="0" w:space="0" w:color="auto"/>
        <w:left w:val="none" w:sz="0" w:space="0" w:color="auto"/>
        <w:bottom w:val="none" w:sz="0" w:space="0" w:color="auto"/>
        <w:right w:val="none" w:sz="0" w:space="0" w:color="auto"/>
      </w:divBdr>
    </w:div>
    <w:div w:id="1668750093">
      <w:bodyDiv w:val="1"/>
      <w:marLeft w:val="0"/>
      <w:marRight w:val="0"/>
      <w:marTop w:val="0"/>
      <w:marBottom w:val="0"/>
      <w:divBdr>
        <w:top w:val="none" w:sz="0" w:space="0" w:color="auto"/>
        <w:left w:val="none" w:sz="0" w:space="0" w:color="auto"/>
        <w:bottom w:val="none" w:sz="0" w:space="0" w:color="auto"/>
        <w:right w:val="none" w:sz="0" w:space="0" w:color="auto"/>
      </w:divBdr>
    </w:div>
    <w:div w:id="1689677388">
      <w:bodyDiv w:val="1"/>
      <w:marLeft w:val="0"/>
      <w:marRight w:val="0"/>
      <w:marTop w:val="0"/>
      <w:marBottom w:val="0"/>
      <w:divBdr>
        <w:top w:val="none" w:sz="0" w:space="0" w:color="auto"/>
        <w:left w:val="none" w:sz="0" w:space="0" w:color="auto"/>
        <w:bottom w:val="none" w:sz="0" w:space="0" w:color="auto"/>
        <w:right w:val="none" w:sz="0" w:space="0" w:color="auto"/>
      </w:divBdr>
    </w:div>
    <w:div w:id="1733187867">
      <w:bodyDiv w:val="1"/>
      <w:marLeft w:val="0"/>
      <w:marRight w:val="0"/>
      <w:marTop w:val="0"/>
      <w:marBottom w:val="0"/>
      <w:divBdr>
        <w:top w:val="none" w:sz="0" w:space="0" w:color="auto"/>
        <w:left w:val="none" w:sz="0" w:space="0" w:color="auto"/>
        <w:bottom w:val="none" w:sz="0" w:space="0" w:color="auto"/>
        <w:right w:val="none" w:sz="0" w:space="0" w:color="auto"/>
      </w:divBdr>
    </w:div>
    <w:div w:id="1746490829">
      <w:bodyDiv w:val="1"/>
      <w:marLeft w:val="0"/>
      <w:marRight w:val="0"/>
      <w:marTop w:val="0"/>
      <w:marBottom w:val="0"/>
      <w:divBdr>
        <w:top w:val="none" w:sz="0" w:space="0" w:color="auto"/>
        <w:left w:val="none" w:sz="0" w:space="0" w:color="auto"/>
        <w:bottom w:val="none" w:sz="0" w:space="0" w:color="auto"/>
        <w:right w:val="none" w:sz="0" w:space="0" w:color="auto"/>
      </w:divBdr>
    </w:div>
    <w:div w:id="1755123543">
      <w:bodyDiv w:val="1"/>
      <w:marLeft w:val="0"/>
      <w:marRight w:val="0"/>
      <w:marTop w:val="0"/>
      <w:marBottom w:val="0"/>
      <w:divBdr>
        <w:top w:val="none" w:sz="0" w:space="0" w:color="auto"/>
        <w:left w:val="none" w:sz="0" w:space="0" w:color="auto"/>
        <w:bottom w:val="none" w:sz="0" w:space="0" w:color="auto"/>
        <w:right w:val="none" w:sz="0" w:space="0" w:color="auto"/>
      </w:divBdr>
    </w:div>
    <w:div w:id="1761246498">
      <w:bodyDiv w:val="1"/>
      <w:marLeft w:val="0"/>
      <w:marRight w:val="0"/>
      <w:marTop w:val="0"/>
      <w:marBottom w:val="0"/>
      <w:divBdr>
        <w:top w:val="none" w:sz="0" w:space="0" w:color="auto"/>
        <w:left w:val="none" w:sz="0" w:space="0" w:color="auto"/>
        <w:bottom w:val="none" w:sz="0" w:space="0" w:color="auto"/>
        <w:right w:val="none" w:sz="0" w:space="0" w:color="auto"/>
      </w:divBdr>
    </w:div>
    <w:div w:id="1782141846">
      <w:bodyDiv w:val="1"/>
      <w:marLeft w:val="0"/>
      <w:marRight w:val="0"/>
      <w:marTop w:val="0"/>
      <w:marBottom w:val="0"/>
      <w:divBdr>
        <w:top w:val="none" w:sz="0" w:space="0" w:color="auto"/>
        <w:left w:val="none" w:sz="0" w:space="0" w:color="auto"/>
        <w:bottom w:val="none" w:sz="0" w:space="0" w:color="auto"/>
        <w:right w:val="none" w:sz="0" w:space="0" w:color="auto"/>
      </w:divBdr>
    </w:div>
    <w:div w:id="1793671205">
      <w:bodyDiv w:val="1"/>
      <w:marLeft w:val="0"/>
      <w:marRight w:val="0"/>
      <w:marTop w:val="0"/>
      <w:marBottom w:val="0"/>
      <w:divBdr>
        <w:top w:val="none" w:sz="0" w:space="0" w:color="auto"/>
        <w:left w:val="none" w:sz="0" w:space="0" w:color="auto"/>
        <w:bottom w:val="none" w:sz="0" w:space="0" w:color="auto"/>
        <w:right w:val="none" w:sz="0" w:space="0" w:color="auto"/>
      </w:divBdr>
    </w:div>
    <w:div w:id="1795752590">
      <w:bodyDiv w:val="1"/>
      <w:marLeft w:val="0"/>
      <w:marRight w:val="0"/>
      <w:marTop w:val="0"/>
      <w:marBottom w:val="0"/>
      <w:divBdr>
        <w:top w:val="none" w:sz="0" w:space="0" w:color="auto"/>
        <w:left w:val="none" w:sz="0" w:space="0" w:color="auto"/>
        <w:bottom w:val="none" w:sz="0" w:space="0" w:color="auto"/>
        <w:right w:val="none" w:sz="0" w:space="0" w:color="auto"/>
      </w:divBdr>
    </w:div>
    <w:div w:id="1796217463">
      <w:bodyDiv w:val="1"/>
      <w:marLeft w:val="0"/>
      <w:marRight w:val="0"/>
      <w:marTop w:val="0"/>
      <w:marBottom w:val="0"/>
      <w:divBdr>
        <w:top w:val="none" w:sz="0" w:space="0" w:color="auto"/>
        <w:left w:val="none" w:sz="0" w:space="0" w:color="auto"/>
        <w:bottom w:val="none" w:sz="0" w:space="0" w:color="auto"/>
        <w:right w:val="none" w:sz="0" w:space="0" w:color="auto"/>
      </w:divBdr>
    </w:div>
    <w:div w:id="1861240979">
      <w:bodyDiv w:val="1"/>
      <w:marLeft w:val="0"/>
      <w:marRight w:val="0"/>
      <w:marTop w:val="0"/>
      <w:marBottom w:val="0"/>
      <w:divBdr>
        <w:top w:val="none" w:sz="0" w:space="0" w:color="auto"/>
        <w:left w:val="none" w:sz="0" w:space="0" w:color="auto"/>
        <w:bottom w:val="none" w:sz="0" w:space="0" w:color="auto"/>
        <w:right w:val="none" w:sz="0" w:space="0" w:color="auto"/>
      </w:divBdr>
    </w:div>
    <w:div w:id="1880434087">
      <w:bodyDiv w:val="1"/>
      <w:marLeft w:val="0"/>
      <w:marRight w:val="0"/>
      <w:marTop w:val="0"/>
      <w:marBottom w:val="0"/>
      <w:divBdr>
        <w:top w:val="none" w:sz="0" w:space="0" w:color="auto"/>
        <w:left w:val="none" w:sz="0" w:space="0" w:color="auto"/>
        <w:bottom w:val="none" w:sz="0" w:space="0" w:color="auto"/>
        <w:right w:val="none" w:sz="0" w:space="0" w:color="auto"/>
      </w:divBdr>
    </w:div>
    <w:div w:id="1880582292">
      <w:bodyDiv w:val="1"/>
      <w:marLeft w:val="0"/>
      <w:marRight w:val="0"/>
      <w:marTop w:val="0"/>
      <w:marBottom w:val="0"/>
      <w:divBdr>
        <w:top w:val="none" w:sz="0" w:space="0" w:color="auto"/>
        <w:left w:val="none" w:sz="0" w:space="0" w:color="auto"/>
        <w:bottom w:val="none" w:sz="0" w:space="0" w:color="auto"/>
        <w:right w:val="none" w:sz="0" w:space="0" w:color="auto"/>
      </w:divBdr>
    </w:div>
    <w:div w:id="1881085882">
      <w:bodyDiv w:val="1"/>
      <w:marLeft w:val="0"/>
      <w:marRight w:val="0"/>
      <w:marTop w:val="0"/>
      <w:marBottom w:val="0"/>
      <w:divBdr>
        <w:top w:val="none" w:sz="0" w:space="0" w:color="auto"/>
        <w:left w:val="none" w:sz="0" w:space="0" w:color="auto"/>
        <w:bottom w:val="none" w:sz="0" w:space="0" w:color="auto"/>
        <w:right w:val="none" w:sz="0" w:space="0" w:color="auto"/>
      </w:divBdr>
    </w:div>
    <w:div w:id="1918976746">
      <w:bodyDiv w:val="1"/>
      <w:marLeft w:val="0"/>
      <w:marRight w:val="0"/>
      <w:marTop w:val="0"/>
      <w:marBottom w:val="0"/>
      <w:divBdr>
        <w:top w:val="none" w:sz="0" w:space="0" w:color="auto"/>
        <w:left w:val="none" w:sz="0" w:space="0" w:color="auto"/>
        <w:bottom w:val="none" w:sz="0" w:space="0" w:color="auto"/>
        <w:right w:val="none" w:sz="0" w:space="0" w:color="auto"/>
      </w:divBdr>
    </w:div>
    <w:div w:id="1934319275">
      <w:bodyDiv w:val="1"/>
      <w:marLeft w:val="0"/>
      <w:marRight w:val="0"/>
      <w:marTop w:val="0"/>
      <w:marBottom w:val="0"/>
      <w:divBdr>
        <w:top w:val="none" w:sz="0" w:space="0" w:color="auto"/>
        <w:left w:val="none" w:sz="0" w:space="0" w:color="auto"/>
        <w:bottom w:val="none" w:sz="0" w:space="0" w:color="auto"/>
        <w:right w:val="none" w:sz="0" w:space="0" w:color="auto"/>
      </w:divBdr>
    </w:div>
    <w:div w:id="1972324616">
      <w:bodyDiv w:val="1"/>
      <w:marLeft w:val="0"/>
      <w:marRight w:val="0"/>
      <w:marTop w:val="0"/>
      <w:marBottom w:val="0"/>
      <w:divBdr>
        <w:top w:val="none" w:sz="0" w:space="0" w:color="auto"/>
        <w:left w:val="none" w:sz="0" w:space="0" w:color="auto"/>
        <w:bottom w:val="none" w:sz="0" w:space="0" w:color="auto"/>
        <w:right w:val="none" w:sz="0" w:space="0" w:color="auto"/>
      </w:divBdr>
    </w:div>
    <w:div w:id="1973628106">
      <w:bodyDiv w:val="1"/>
      <w:marLeft w:val="0"/>
      <w:marRight w:val="0"/>
      <w:marTop w:val="0"/>
      <w:marBottom w:val="0"/>
      <w:divBdr>
        <w:top w:val="none" w:sz="0" w:space="0" w:color="auto"/>
        <w:left w:val="none" w:sz="0" w:space="0" w:color="auto"/>
        <w:bottom w:val="none" w:sz="0" w:space="0" w:color="auto"/>
        <w:right w:val="none" w:sz="0" w:space="0" w:color="auto"/>
      </w:divBdr>
    </w:div>
    <w:div w:id="1977055672">
      <w:bodyDiv w:val="1"/>
      <w:marLeft w:val="0"/>
      <w:marRight w:val="0"/>
      <w:marTop w:val="0"/>
      <w:marBottom w:val="0"/>
      <w:divBdr>
        <w:top w:val="none" w:sz="0" w:space="0" w:color="auto"/>
        <w:left w:val="none" w:sz="0" w:space="0" w:color="auto"/>
        <w:bottom w:val="none" w:sz="0" w:space="0" w:color="auto"/>
        <w:right w:val="none" w:sz="0" w:space="0" w:color="auto"/>
      </w:divBdr>
    </w:div>
    <w:div w:id="1977635969">
      <w:bodyDiv w:val="1"/>
      <w:marLeft w:val="0"/>
      <w:marRight w:val="0"/>
      <w:marTop w:val="0"/>
      <w:marBottom w:val="0"/>
      <w:divBdr>
        <w:top w:val="none" w:sz="0" w:space="0" w:color="auto"/>
        <w:left w:val="none" w:sz="0" w:space="0" w:color="auto"/>
        <w:bottom w:val="none" w:sz="0" w:space="0" w:color="auto"/>
        <w:right w:val="none" w:sz="0" w:space="0" w:color="auto"/>
      </w:divBdr>
    </w:div>
    <w:div w:id="1983272572">
      <w:bodyDiv w:val="1"/>
      <w:marLeft w:val="0"/>
      <w:marRight w:val="0"/>
      <w:marTop w:val="0"/>
      <w:marBottom w:val="0"/>
      <w:divBdr>
        <w:top w:val="none" w:sz="0" w:space="0" w:color="auto"/>
        <w:left w:val="none" w:sz="0" w:space="0" w:color="auto"/>
        <w:bottom w:val="none" w:sz="0" w:space="0" w:color="auto"/>
        <w:right w:val="none" w:sz="0" w:space="0" w:color="auto"/>
      </w:divBdr>
    </w:div>
    <w:div w:id="1986887584">
      <w:bodyDiv w:val="1"/>
      <w:marLeft w:val="0"/>
      <w:marRight w:val="0"/>
      <w:marTop w:val="0"/>
      <w:marBottom w:val="0"/>
      <w:divBdr>
        <w:top w:val="none" w:sz="0" w:space="0" w:color="auto"/>
        <w:left w:val="none" w:sz="0" w:space="0" w:color="auto"/>
        <w:bottom w:val="none" w:sz="0" w:space="0" w:color="auto"/>
        <w:right w:val="none" w:sz="0" w:space="0" w:color="auto"/>
      </w:divBdr>
    </w:div>
    <w:div w:id="1998025756">
      <w:bodyDiv w:val="1"/>
      <w:marLeft w:val="0"/>
      <w:marRight w:val="0"/>
      <w:marTop w:val="0"/>
      <w:marBottom w:val="0"/>
      <w:divBdr>
        <w:top w:val="none" w:sz="0" w:space="0" w:color="auto"/>
        <w:left w:val="none" w:sz="0" w:space="0" w:color="auto"/>
        <w:bottom w:val="none" w:sz="0" w:space="0" w:color="auto"/>
        <w:right w:val="none" w:sz="0" w:space="0" w:color="auto"/>
      </w:divBdr>
    </w:div>
    <w:div w:id="2005890648">
      <w:bodyDiv w:val="1"/>
      <w:marLeft w:val="0"/>
      <w:marRight w:val="0"/>
      <w:marTop w:val="0"/>
      <w:marBottom w:val="0"/>
      <w:divBdr>
        <w:top w:val="none" w:sz="0" w:space="0" w:color="auto"/>
        <w:left w:val="none" w:sz="0" w:space="0" w:color="auto"/>
        <w:bottom w:val="none" w:sz="0" w:space="0" w:color="auto"/>
        <w:right w:val="none" w:sz="0" w:space="0" w:color="auto"/>
      </w:divBdr>
    </w:div>
    <w:div w:id="2018191216">
      <w:bodyDiv w:val="1"/>
      <w:marLeft w:val="0"/>
      <w:marRight w:val="0"/>
      <w:marTop w:val="0"/>
      <w:marBottom w:val="0"/>
      <w:divBdr>
        <w:top w:val="none" w:sz="0" w:space="0" w:color="auto"/>
        <w:left w:val="none" w:sz="0" w:space="0" w:color="auto"/>
        <w:bottom w:val="none" w:sz="0" w:space="0" w:color="auto"/>
        <w:right w:val="none" w:sz="0" w:space="0" w:color="auto"/>
      </w:divBdr>
    </w:div>
    <w:div w:id="2021656591">
      <w:bodyDiv w:val="1"/>
      <w:marLeft w:val="0"/>
      <w:marRight w:val="0"/>
      <w:marTop w:val="0"/>
      <w:marBottom w:val="0"/>
      <w:divBdr>
        <w:top w:val="none" w:sz="0" w:space="0" w:color="auto"/>
        <w:left w:val="none" w:sz="0" w:space="0" w:color="auto"/>
        <w:bottom w:val="none" w:sz="0" w:space="0" w:color="auto"/>
        <w:right w:val="none" w:sz="0" w:space="0" w:color="auto"/>
      </w:divBdr>
    </w:div>
    <w:div w:id="2025552044">
      <w:bodyDiv w:val="1"/>
      <w:marLeft w:val="0"/>
      <w:marRight w:val="0"/>
      <w:marTop w:val="0"/>
      <w:marBottom w:val="0"/>
      <w:divBdr>
        <w:top w:val="none" w:sz="0" w:space="0" w:color="auto"/>
        <w:left w:val="none" w:sz="0" w:space="0" w:color="auto"/>
        <w:bottom w:val="none" w:sz="0" w:space="0" w:color="auto"/>
        <w:right w:val="none" w:sz="0" w:space="0" w:color="auto"/>
      </w:divBdr>
    </w:div>
    <w:div w:id="2044985761">
      <w:bodyDiv w:val="1"/>
      <w:marLeft w:val="0"/>
      <w:marRight w:val="0"/>
      <w:marTop w:val="0"/>
      <w:marBottom w:val="0"/>
      <w:divBdr>
        <w:top w:val="none" w:sz="0" w:space="0" w:color="auto"/>
        <w:left w:val="none" w:sz="0" w:space="0" w:color="auto"/>
        <w:bottom w:val="none" w:sz="0" w:space="0" w:color="auto"/>
        <w:right w:val="none" w:sz="0" w:space="0" w:color="auto"/>
      </w:divBdr>
    </w:div>
    <w:div w:id="2048556623">
      <w:bodyDiv w:val="1"/>
      <w:marLeft w:val="0"/>
      <w:marRight w:val="0"/>
      <w:marTop w:val="0"/>
      <w:marBottom w:val="0"/>
      <w:divBdr>
        <w:top w:val="none" w:sz="0" w:space="0" w:color="auto"/>
        <w:left w:val="none" w:sz="0" w:space="0" w:color="auto"/>
        <w:bottom w:val="none" w:sz="0" w:space="0" w:color="auto"/>
        <w:right w:val="none" w:sz="0" w:space="0" w:color="auto"/>
      </w:divBdr>
    </w:div>
    <w:div w:id="2065135893">
      <w:bodyDiv w:val="1"/>
      <w:marLeft w:val="0"/>
      <w:marRight w:val="0"/>
      <w:marTop w:val="0"/>
      <w:marBottom w:val="0"/>
      <w:divBdr>
        <w:top w:val="none" w:sz="0" w:space="0" w:color="auto"/>
        <w:left w:val="none" w:sz="0" w:space="0" w:color="auto"/>
        <w:bottom w:val="none" w:sz="0" w:space="0" w:color="auto"/>
        <w:right w:val="none" w:sz="0" w:space="0" w:color="auto"/>
      </w:divBdr>
    </w:div>
    <w:div w:id="2130784290">
      <w:bodyDiv w:val="1"/>
      <w:marLeft w:val="0"/>
      <w:marRight w:val="0"/>
      <w:marTop w:val="0"/>
      <w:marBottom w:val="0"/>
      <w:divBdr>
        <w:top w:val="none" w:sz="0" w:space="0" w:color="auto"/>
        <w:left w:val="none" w:sz="0" w:space="0" w:color="auto"/>
        <w:bottom w:val="none" w:sz="0" w:space="0" w:color="auto"/>
        <w:right w:val="none" w:sz="0" w:space="0" w:color="auto"/>
      </w:divBdr>
    </w:div>
    <w:div w:id="2135101242">
      <w:bodyDiv w:val="1"/>
      <w:marLeft w:val="0"/>
      <w:marRight w:val="0"/>
      <w:marTop w:val="0"/>
      <w:marBottom w:val="0"/>
      <w:divBdr>
        <w:top w:val="none" w:sz="0" w:space="0" w:color="auto"/>
        <w:left w:val="none" w:sz="0" w:space="0" w:color="auto"/>
        <w:bottom w:val="none" w:sz="0" w:space="0" w:color="auto"/>
        <w:right w:val="none" w:sz="0" w:space="0" w:color="auto"/>
      </w:divBdr>
    </w:div>
    <w:div w:id="2139107688">
      <w:bodyDiv w:val="1"/>
      <w:marLeft w:val="0"/>
      <w:marRight w:val="0"/>
      <w:marTop w:val="0"/>
      <w:marBottom w:val="0"/>
      <w:divBdr>
        <w:top w:val="none" w:sz="0" w:space="0" w:color="auto"/>
        <w:left w:val="none" w:sz="0" w:space="0" w:color="auto"/>
        <w:bottom w:val="none" w:sz="0" w:space="0" w:color="auto"/>
        <w:right w:val="none" w:sz="0" w:space="0" w:color="auto"/>
      </w:divBdr>
    </w:div>
    <w:div w:id="214665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cmegroup.com/market-data/cme-group-benchmark-administration/term-sofr.html" TargetMode="External"/><Relationship Id="rId26" Type="http://schemas.openxmlformats.org/officeDocument/2006/relationships/image" Target="media/image10.gif"/><Relationship Id="rId39" Type="http://schemas.openxmlformats.org/officeDocument/2006/relationships/image" Target="media/image23.gif"/><Relationship Id="rId21" Type="http://schemas.openxmlformats.org/officeDocument/2006/relationships/hyperlink" Target="mailto:carlos.rojas@fifco.com" TargetMode="External"/><Relationship Id="rId34" Type="http://schemas.openxmlformats.org/officeDocument/2006/relationships/image" Target="media/image18.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rolando.carvajal@fifco.com" TargetMode="External"/><Relationship Id="rId29"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informacion@deloitte.com" TargetMode="External"/><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hyperlink" Target="http://www.scriesgo.com" TargetMode="Externa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maureen.phillips@fifco.com"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gif"/></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t7t3+Ui5Fvd29TSa9uuDLJluWH4SHddWDOD/NfO/jRI=</DigestValue>
    </Reference>
    <Reference Type="http://uri.etsi.org/01903#SignedProperties" URI="#idSignedProperties">
      <Transforms>
        <Transform Algorithm="http://www.w3.org/TR/2001/REC-xml-c14n-20010315"/>
      </Transforms>
      <DigestMethod Algorithm="http://www.w3.org/2001/04/xmlenc#sha256"/>
      <DigestValue>tmn0K+tWcjCKV2AGvlmyYbymMmisAM32c0aQSlEOKAo=</DigestValue>
    </Reference>
  </SignedInfo>
  <SignatureValue>R/bTjAx7mm6Wac7b8n/dBT/tVZCyXG/fxK0rNWgm8jejgz7CKnwQHPOiPQsmb0RJAOw6uhmxtOY9ktpCWWcDBerAOwnm6n8d9JRe8fNS1irE/ZfeaqYKlVqTBPQrhn1m+VERk8uOVMTmsdPJPcQlz2WHDJYQ07OpzZbt/aNNclPVNJvADDYztu7YLklQTfUIoUTahK8w4C/li/6Va1eDPzXxC9g2amIkgRC+6EISuxrXLtzs7mIXIiDGj0GFfMc9b5uyR5ZLbg3fvGW0SwOWsPnHZhJkAEgMxmPSekzGTDj9Md/SD3tRiI3cbUPssh8hOqHGAUSJ3KJqre0TQbim5A==</SignatureValue>
  <KeyInfo>
    <X509Data>
      <X509Certificate>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mVdF5NWGbbBqv7I3Vw2cVLjrCsf+ex7ymS85g1OwMdY=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dDl9dBQW1s2HbDBVac0DPdu1nC9hNkuivkPSC7vgutQ=</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M63lZRA6iG/QP8DFvxLGtyMhA48Mcs8b0TBXdPZURTE=</DigestValue>
      </Reference>
      <Reference URI="/word/document.xml?ContentType=application/vnd.openxmlformats-officedocument.wordprocessingml.document.main+xml">
        <DigestMethod Algorithm="http://www.w3.org/2001/04/xmlenc#sha256"/>
        <DigestValue>VZ/a2zNCCOLufougjf43fPFp/Lj5mOa5+D1jzMH+FSY=</DigestValue>
      </Reference>
      <Reference URI="/word/media/image3.jpeg?ContentType=image/jpeg">
        <DigestMethod Algorithm="http://www.w3.org/2001/04/xmlenc#sha256"/>
        <DigestValue>cLjjnFL+S6au7iuuCSjpNZXOpVRbstJbDuIT3uYSsDI=</DigestValue>
      </Reference>
      <Reference URI="/word/media/image10.gif?ContentType=image/gif">
        <DigestMethod Algorithm="http://www.w3.org/2001/04/xmlenc#sha256"/>
        <DigestValue>kW8eLNqqM5zJ3npxMCtF8jW+Yh47ph54GtNlo4gjtog=</DigestValue>
      </Reference>
      <Reference URI="/word/media/image23.gif?ContentType=image/gif">
        <DigestMethod Algorithm="http://www.w3.org/2001/04/xmlenc#sha256"/>
        <DigestValue>0laL82VCdzhhL+2kUb4Kahwh9EdfWvjIwZu51U1sZck=</DigestValue>
      </Reference>
      <Reference URI="/word/media/image18.png?ContentType=image/png">
        <DigestMethod Algorithm="http://www.w3.org/2001/04/xmlenc#sha256"/>
        <DigestValue>7a3t1zz0fSMjWtiMO+qT8HCVJbpZtzRxcTxEl1Ni3No=</DigestValue>
      </Reference>
      <Reference URI="/word/footer1.xml?ContentType=application/vnd.openxmlformats-officedocument.wordprocessingml.footer+xml">
        <DigestMethod Algorithm="http://www.w3.org/2001/04/xmlenc#sha256"/>
        <DigestValue>Y7aPaF0tI+Ibsx3RCb22cNugsMjDV8AtMlTAgHjPB7k=</DigestValue>
      </Reference>
      <Reference URI="/word/media/image26.jpeg?ContentType=image/jpeg">
        <DigestMethod Algorithm="http://www.w3.org/2001/04/xmlenc#sha256"/>
        <DigestValue>/8Abm1U32M1hqzJpwANJdIizdd3iEreTKETyEUwRRZ0=</DigestValue>
      </Reference>
      <Reference URI="/word/settings.xml?ContentType=application/vnd.openxmlformats-officedocument.wordprocessingml.settings+xml">
        <DigestMethod Algorithm="http://www.w3.org/2001/04/xmlenc#sha256"/>
        <DigestValue>F1FOfL1qGOlIdhEpIuFImZ7O0hV6oz3JS5wdVr7c8UA=</DigestValue>
      </Reference>
      <Reference URI="/word/media/image6.png?ContentType=image/png">
        <DigestMethod Algorithm="http://www.w3.org/2001/04/xmlenc#sha256"/>
        <DigestValue>ZHoVCeySYRlaAtD+lzZsDNiNgfZRwe7xRGP4hiHY818=</DigestValue>
      </Reference>
      <Reference URI="/word/media/image13.png?ContentType=image/png">
        <DigestMethod Algorithm="http://www.w3.org/2001/04/xmlenc#sha256"/>
        <DigestValue>nhslj5WVxTWgMlR4vHjoCDUP+Pf37hSn13gJC7jKPe8=</DigestValue>
      </Reference>
      <Reference URI="/word/header1.xml?ContentType=application/vnd.openxmlformats-officedocument.wordprocessingml.header+xml">
        <DigestMethod Algorithm="http://www.w3.org/2001/04/xmlenc#sha256"/>
        <DigestValue>UkgvUV/f9qyo9M7Sog7yog0zr7bgpXZOOPHyMaKAL4Y=</DigestValue>
      </Reference>
      <Reference URI="/word/media/image25.png?ContentType=image/png">
        <DigestMethod Algorithm="http://www.w3.org/2001/04/xmlenc#sha256"/>
        <DigestValue>ukUzLiv7RqI0pOpsxxN8uKhFkRbj4d1LjYpveRaFPv8=</DigestValue>
      </Reference>
      <Reference URI="/word/styles.xml?ContentType=application/vnd.openxmlformats-officedocument.wordprocessingml.styles+xml">
        <DigestMethod Algorithm="http://www.w3.org/2001/04/xmlenc#sha256"/>
        <DigestValue>buGwWnfZtMc/u72YxcUJK8q3AJv0KULm3u00MG1aqRE=</DigestValue>
      </Reference>
      <Reference URI="/word/media/image1.png?ContentType=image/png">
        <DigestMethod Algorithm="http://www.w3.org/2001/04/xmlenc#sha256"/>
        <DigestValue>O6XY9dyQm3EDjsHzgc2DrS0FhMSjiTmjz0A+4LRIZ90=</DigestValue>
      </Reference>
      <Reference URI="/word/media/image8.png?ContentType=image/png">
        <DigestMethod Algorithm="http://www.w3.org/2001/04/xmlenc#sha256"/>
        <DigestValue>x/EHd/+99I005JmalCjDMiys8bIUcU9yp6ttBS28SDc=</DigestValue>
      </Reference>
      <Reference URI="/word/media/image16.png?ContentType=image/png">
        <DigestMethod Algorithm="http://www.w3.org/2001/04/xmlenc#sha256"/>
        <DigestValue>7ZQBkp5MIzBtsz7HmaCVVf74kBP7Py1588taNjvL02s=</DigestValue>
      </Reference>
      <Reference URI="/word/media/image21.png?ContentType=image/png">
        <DigestMethod Algorithm="http://www.w3.org/2001/04/xmlenc#sha256"/>
        <DigestValue>//uxlUWzGDP22pyANznNFm2F4B4u8uTXVxHzdVEbYIA=</DigestValue>
      </Reference>
      <Reference URI="/word/media/image24.jpg?ContentType=image/jpeg">
        <DigestMethod Algorithm="http://www.w3.org/2001/04/xmlenc#sha256"/>
        <DigestValue>+ueY646o9bavJxC3sE6I0CwHVUUeZmNYeQvLI4YpIqI=</DigestValue>
      </Reference>
      <Reference URI="/word/numbering.xml?ContentType=application/vnd.openxmlformats-officedocument.wordprocessingml.numbering+xml">
        <DigestMethod Algorithm="http://www.w3.org/2001/04/xmlenc#sha256"/>
        <DigestValue>Dx9RQi0OMWv/GpqlMwi8SjLpC78YTOGjTl+STpaPH14=</DigestValue>
      </Reference>
      <Reference URI="/word/media/image5.png?ContentType=image/png">
        <DigestMethod Algorithm="http://www.w3.org/2001/04/xmlenc#sha256"/>
        <DigestValue>L/dK6gVGYS7kkrIe84930KQMXXCxsMTBxiFmzIpZhYQ=</DigestValue>
      </Reference>
      <Reference URI="/word/media/image12.jpeg?ContentType=image/jpeg">
        <DigestMethod Algorithm="http://www.w3.org/2001/04/xmlenc#sha256"/>
        <DigestValue>ITIhX5k3QACPnsaRAwbFYQ0y2VcpNfnSq5XnxK1Sc3E=</DigestValue>
      </Reference>
      <Reference URI="/word/media/image20.png?ContentType=image/png">
        <DigestMethod Algorithm="http://www.w3.org/2001/04/xmlenc#sha256"/>
        <DigestValue>cHy1TyTxzkVxFljBj+B4XL9CIfizBeHVEKB2cY+xfa8=</DigestValue>
      </Reference>
      <Reference URI="/word/endnotes.xml?ContentType=application/vnd.openxmlformats-officedocument.wordprocessingml.endnotes+xml">
        <DigestMethod Algorithm="http://www.w3.org/2001/04/xmlenc#sha256"/>
        <DigestValue>/mUd2fUvjNlwm9jer4x8hByoQ7L3GDiFxDZFzTyfsK8=</DigestValue>
      </Reference>
      <Reference URI="/word/media/image15.png?ContentType=image/png">
        <DigestMethod Algorithm="http://www.w3.org/2001/04/xmlenc#sha256"/>
        <DigestValue>U4j3KfzwUF5/eMgA5roqR4y+L1aCr9gSe9kvapUoaWI=</DigestValue>
      </Reference>
      <Reference URI="/word/theme/theme1.xml?ContentType=application/vnd.openxmlformats-officedocument.theme+xml">
        <DigestMethod Algorithm="http://www.w3.org/2001/04/xmlenc#sha256"/>
        <DigestValue>pta+caFc6FvsHC7/7wgyUOb2CzzArGpjIwcYCl6aME8=</DigestValue>
      </Reference>
      <Reference URI="/word/footnotes.xml?ContentType=application/vnd.openxmlformats-officedocument.wordprocessingml.footnotes+xml">
        <DigestMethod Algorithm="http://www.w3.org/2001/04/xmlenc#sha256"/>
        <DigestValue>D5ekE6og/PbPgsRMxtPAVAAqnEdpDPR5nhB+OYnahRw=</DigestValue>
      </Reference>
      <Reference URI="/word/media/image4.png?ContentType=image/png">
        <DigestMethod Algorithm="http://www.w3.org/2001/04/xmlenc#sha256"/>
        <DigestValue>NPDcV75AIgLVf8kgKUEfhFS0MUc//bY+WuFHGV1SRLc=</DigestValue>
      </Reference>
      <Reference URI="/word/media/image11.png?ContentType=image/png">
        <DigestMethod Algorithm="http://www.w3.org/2001/04/xmlenc#sha256"/>
        <DigestValue>e04FoPVEupCvmwdtYMN+4+ScgVuV8k+5ieQY1UZgfTk=</DigestValue>
      </Reference>
      <Reference URI="/word/media/image14.png?ContentType=image/png">
        <DigestMethod Algorithm="http://www.w3.org/2001/04/xmlenc#sha256"/>
        <DigestValue>Vh04y87Yf7syrJ6Ye+accLPqgbNcmCcW6HQ7PgOthUE=</DigestValue>
      </Reference>
      <Reference URI="/word/media/image19.png?ContentType=image/png">
        <DigestMethod Algorithm="http://www.w3.org/2001/04/xmlenc#sha256"/>
        <DigestValue>jPFQYHKxvA0RksP6UbB9SnL8VlXSQPouHTQF5APNle4=</DigestValue>
      </Reference>
      <Reference URI="/word/fontTable.xml?ContentType=application/vnd.openxmlformats-officedocument.wordprocessingml.fontTable+xml">
        <DigestMethod Algorithm="http://www.w3.org/2001/04/xmlenc#sha256"/>
        <DigestValue>JHjRwz4ZlbkFGLbod/5ABvitmHR1ZjkzRzZEpOHOlEw=</DigestValue>
      </Reference>
      <Reference URI="/word/webSettings.xml?ContentType=application/vnd.openxmlformats-officedocument.wordprocessingml.webSettings+xml">
        <DigestMethod Algorithm="http://www.w3.org/2001/04/xmlenc#sha256"/>
        <DigestValue>tlyUXGU4CTUx8mKmqeBsTjvUatqTeOFrpyVmGw1iNHo=</DigestValue>
      </Reference>
      <Reference URI="/word/media/image2.png?ContentType=image/png">
        <DigestMethod Algorithm="http://www.w3.org/2001/04/xmlenc#sha256"/>
        <DigestValue>/QvNuCgbwvBsk0oOmSPprmr1r5NuHiLrHN6+yhcJf7k=</DigestValue>
      </Reference>
      <Reference URI="/word/media/image7.png?ContentType=image/png">
        <DigestMethod Algorithm="http://www.w3.org/2001/04/xmlenc#sha256"/>
        <DigestValue>TVFSyR7jAE/LMgZhFqJJKuq7APRn1TwBGBY3YFR7TXc=</DigestValue>
      </Reference>
      <Reference URI="/word/media/image9.png?ContentType=image/png">
        <DigestMethod Algorithm="http://www.w3.org/2001/04/xmlenc#sha256"/>
        <DigestValue>129npEkKB9e2+19E9DG6qxaY0Hj11S/ep7sfBo8hWwU=</DigestValue>
      </Reference>
      <Reference URI="/word/media/image17.png?ContentType=image/png">
        <DigestMethod Algorithm="http://www.w3.org/2001/04/xmlenc#sha256"/>
        <DigestValue>Rq2E1XxWF4OKTxJhryl2bM58i8oq7fOqbXxidGccGQw=</DigestValue>
      </Reference>
      <Reference URI="/word/media/image22.gif?ContentType=image/gif">
        <DigestMethod Algorithm="http://www.w3.org/2001/04/xmlenc#sha256"/>
        <DigestValue>S2F3FSE/VxMZ/bMOMvxwf0icu28eWRR4SrjBdtSOQ4w=</DigestValue>
      </Reference>
    </Manifest>
    <SignatureProperties>
      <SignatureProperty Id="idSignatureTime" Target="#idPackageSignature">
        <mdssi:SignatureTime xmlns:mdssi="http://schemas.openxmlformats.org/package/2006/digital-signature">
          <mdssi:Format>YYYY-MM-DDThh:mm:ssTZD</mdssi:Format>
          <mdssi:Value>2024-07-01T15:03:18Z</mdssi:Value>
        </mdssi:SignatureTime>
      </SignatureProperty>
    </SignatureProperties>
  </Object>
  <Object>
    <xd:QualifyingProperties xmlns:xd="http://uri.etsi.org/01903/v1.3.2#" Target="#idPackageSignature">
      <xd:SignedProperties Id="idSignedProperties">
        <xd:SignedSignatureProperties>
          <xd:SigningTime>2024-07-01T15:03:18Z</xd:SigningTime>
          <xd:SigningCertificate>
            <xd:Cert>
              <xd:CertDigest>
                <DigestMethod Algorithm="http://www.w3.org/2001/04/xmlenc#sha256"/>
                <DigestValue>lqRPRi14RZYD9mE7MHSqxoNz4a6LITsxu/1SjP0D58Q=</DigestValue>
              </xd:CertDigest>
              <xd:IssuerSerial>
                <X509IssuerName>CN=CA SINPE - PERSONA FISICA v2, OU=DIVISION SISTEMAS DE PAGO, O=BANCO CENTRAL DE COSTA RICA, C=CR, SERIALNUMBER=CPJ-4-000-004017</X509IssuerName>
                <X509SerialNumber>446020353544672836291159550134412992092046285</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RZkErfcELQ5WAcY0S7Bq5qTuIbpu+m9V0VvUEMyaLUCBBuXb/oYDzIwMjQwNzAxMTUwMzI3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</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</xd:EncapsulatedCRLValue>
                <xd:EncapsulatedCRLValue>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</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bqgeyBcMCg9xN9nzxG3IW4SCoB+QBsfKPPqXSO6tVMQ=</DigestValue>
                </xd:DigestAlgAndValue>
                <xd:CRLIdentifier>
                  <xd:Issuer>SERIALNUMBER=CPJ-2-100-098311,C=CR,O=MICITT,OU=DCFD,CN=CA POLITICA PERSONA FISICA - COSTA RICA v2</xd:Issuer>
                  <xd:IssueTime>2024-06-07T21:11:42Z</xd:IssueTime>
                  <xd:Number>56</xd:Number>
                </xd:CRLIdentifier>
              </xd:CRLRef>
              <xd:CRLRef>
                <xd:DigestAlgAndValue>
                  <DigestMethod Algorithm="http://www.w3.org/2001/04/xmlenc#sha256"/>
                  <DigestValue>bPvzDXjUBPqOiEWdlnloett4vih5z30bI+yu4kRWLfo=</DigestValue>
                </xd:DigestAlgAndValue>
                <xd:CRLIdentifier>
                  <xd:Issuer>SERIALNUMBER=CPJ-2-100-098311,OU=DCFD,O=MICITT,C=CR,CN=CA RAIZ NACIONAL - COSTA RICA v2</xd:Issuer>
                  <xd:IssueTime>2024-06-07T20:56:45Z</xd:IssueTime>
                  <xd:Number>33</xd:Number>
                </xd:CRLIdentifier>
              </xd:CRLRef>
            </xd:CRLRefs>
            <xd:OCSPRefs>
              <xd:OCSPRef>
                <xd:OCSPIdentifier>
                  <xd:ResponderID>
                    <xd:ByKey>04GkwswAgTQuYsHwqbrCOvB75aI=</xd:ByKey>
                  </xd:ResponderID>
                  <xd:ProducedAt>2024-07-01T15:03:27Z</xd:ProducedAt>
                </xd:OCSPIdentifier>
                <xd:DigestAlgAndValue>
                  <DigestMethod Algorithm="http://www.w3.org/2001/04/xmlenc#sha256"/>
                  <DigestValue>26av18mqX5zT2B9bZu5J5glo/LW8OS5vD0UXgJXqR0E=</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</xd:EncapsulatedCRLValue>
              <xd:EncapsulatedCRLValue>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</xd:EncapsulatedCRLValue>
            </xd:CRLValues>
            <xd:OCSPValues>
              <xd:EncapsulatedOCSPValue>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</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BKBkBGIwYAIBAQYIYIE8AQEBAQUwMTANBglghkgBZQMEAgEFAAQgh+NFw5eBuiGCbspIGBAfeulx
Q31gWqtzqcrA4/+zLrUCBBuXb/4YDzIwMjQwNzAxMTUwMzI3WjAEgAIB9AEB/6CCB8Iwgge+MIIF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CSqGSIb3DQEJAzENBgsqhkiG9w0BCRABBDAcBgkqhkiG9w0BCQUxDxcNMjQwNzAxMTUwMzI3WjAv
BgkqhkiG9w0BCQQxIgQgcqOH5s0pts2s1jHFOnmYJAdpPZvLQ6lC1AGipNp3HPYwNwYLKoZIhvcN
AQkQAi8xKDAmMCQwIgQgrKszXYj6Q2nTJpWV/NZakemXG2IrBO983WoSsYOW808wDQYJKoZIhvcN
AQEBBQAEggEAUvev3hMDnXnF6fLlfHwRVJRH2QyHHwZ8sGcrUyl8q+e4PGN4xWtMwHyFCUZO/KkC
jkez86R/Jegat7A0njOP883Py7B5tDgDKBwl1YTdFcx0kha9PgX7TRtRIWf6uDiaK93xTPEcsLEh
4VfUnf2k/SUUdhVTSsn9Uq3bgn9pjHmtbFJaWrQBOhmLPkmxP5s1M8JoGn0ybFC03Xs6OZg7B6xc
wykG6/61DlGkl+FWxJOqvweq6mBULK67KMZmhdUsh5KJ5eG/q/jCdNm0WfY6/7au74XmROIMFIV/
QBbM6IbHyCYZlBrHpF+rw9K98RSKOdJAdxer8//uaQChvK+wMg==</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C431C79E1CCB14CB063A33F1A63A53D" ma:contentTypeVersion="15" ma:contentTypeDescription="Crear nuevo documento." ma:contentTypeScope="" ma:versionID="08eab43de3d97f36e82e328470cd133a">
  <xsd:schema xmlns:xsd="http://www.w3.org/2001/XMLSchema" xmlns:xs="http://www.w3.org/2001/XMLSchema" xmlns:p="http://schemas.microsoft.com/office/2006/metadata/properties" xmlns:ns2="c63503c7-21a4-4b3e-b0e3-26e37f360475" xmlns:ns3="53edec42-b653-4574-b4cc-5bd638861f7c" targetNamespace="http://schemas.microsoft.com/office/2006/metadata/properties" ma:root="true" ma:fieldsID="e451315d54f7b6de69836fd07e158cf6" ns2:_="" ns3:_="">
    <xsd:import namespace="c63503c7-21a4-4b3e-b0e3-26e37f360475"/>
    <xsd:import namespace="53edec42-b653-4574-b4cc-5bd638861f7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3503c7-21a4-4b3e-b0e3-26e37f360475"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3edec42-b653-4574-b4cc-5bd638861f7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1269C6-CE2E-4649-9916-6AF80FB7203A}">
  <ds:schemaRefs>
    <ds:schemaRef ds:uri="http://schemas.openxmlformats.org/officeDocument/2006/bibliography"/>
  </ds:schemaRefs>
</ds:datastoreItem>
</file>

<file path=customXml/itemProps2.xml><?xml version="1.0" encoding="utf-8"?>
<ds:datastoreItem xmlns:ds="http://schemas.openxmlformats.org/officeDocument/2006/customXml" ds:itemID="{46A32F53-B84F-4CFF-A9A9-8E6C9B88F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503c7-21a4-4b3e-b0e3-26e37f360475"/>
    <ds:schemaRef ds:uri="53edec42-b653-4574-b4cc-5bd638861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1715C6-E6DD-4715-9F6E-37D64DD99306}">
  <ds:schemaRefs>
    <ds:schemaRef ds:uri="http://schemas.microsoft.com/sharepoint/v3/contenttype/forms"/>
  </ds:schemaRefs>
</ds:datastoreItem>
</file>

<file path=customXml/itemProps4.xml><?xml version="1.0" encoding="utf-8"?>
<ds:datastoreItem xmlns:ds="http://schemas.openxmlformats.org/officeDocument/2006/customXml" ds:itemID="{8C12A7DE-E895-46D4-A1BC-C606970845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99</Pages>
  <Words>31439</Words>
  <Characters>172920</Characters>
  <Application>Microsoft Office Word</Application>
  <DocSecurity>0</DocSecurity>
  <Lines>1441</Lines>
  <Paragraphs>407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Hernandez Soto</dc:creator>
  <cp:keywords/>
  <dc:description/>
  <cp:lastModifiedBy>Beatriz Hernandez Soto</cp:lastModifiedBy>
  <cp:revision>9</cp:revision>
  <cp:lastPrinted>2023-03-31T00:44:00Z</cp:lastPrinted>
  <dcterms:created xsi:type="dcterms:W3CDTF">2024-06-26T17:08:00Z</dcterms:created>
  <dcterms:modified xsi:type="dcterms:W3CDTF">2024-06-28T18:10:00Z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0x0101009C431C79E1CCB14CB063A33F1A63A53D</vt:lpwstr>
  </property>
</Properties>
</file>